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aption"/>
        <w:widowControl/>
        <w:ind w:left="0" w:right="0"/>
        <w:jc w:val="left"/>
      </w:pPr>
      <w:r>
        <w:t>FOR ENTERPRISE LEADERS AND BUSINESS OWNERS</w:t>
      </w:r>
    </w:p>
    <w:p>
      <w:pPr>
        <w:pStyle w:val="Title"/>
        <w:widowControl/>
        <w:ind w:left="0" w:right="0"/>
        <w:jc w:val="left"/>
      </w:pPr>
      <w:r>
        <w:t>Corporate Surveillance and Enterprise Cybersecurity</w:t>
      </w:r>
    </w:p>
    <w:p>
      <w:pPr>
        <w:pStyle w:val="Subtitle"/>
        <w:keepNext/>
        <w:widowControl/>
        <w:spacing w:after="240"/>
        <w:ind w:left="0" w:right="0"/>
        <w:jc w:val="left"/>
      </w:pPr>
      <w:r>
        <w:rPr>
          <w:b/>
          <w:color w:val="087F8C"/>
        </w:rPr>
        <w:t>Connecting security evidence to accountable action</w:t>
      </w:r>
    </w:p>
    <w:p>
      <w:pPr>
        <w:pStyle w:val="Heading2"/>
        <w:keepNext/>
        <w:widowControl/>
        <w:ind w:left="0" w:right="0"/>
        <w:jc w:val="left"/>
      </w:pPr>
      <w:r>
        <w:rPr>
          <w:b/>
          <w:color w:val="16324A"/>
        </w:rPr>
        <w:t>Executive summary</w:t>
      </w:r>
    </w:p>
    <w:p>
      <w:pPr>
        <w:widowControl/>
        <w:spacing w:after="160" w:line="259" w:lineRule="auto"/>
        <w:ind w:left="0" w:right="0"/>
        <w:jc w:val="both"/>
      </w:pPr>
      <w:r>
        <w:t>Enterprises can collect thousands of security records and still lack a dependable account of a material incident. Sign-ins, application activity and data-transfer warnings may sit in separate systems. Without shared context and a named reviewer, suspicious activity can remain unresolved while legitimate work is interrupted by poorly tuned controls.</w:t>
      </w:r>
    </w:p>
    <w:p>
      <w:pPr>
        <w:widowControl/>
        <w:spacing w:after="160" w:line="259" w:lineRule="auto"/>
        <w:ind w:left="0" w:right="0"/>
        <w:jc w:val="both"/>
      </w:pPr>
      <w:r>
        <w:t>A3M Labs provide services of this spectrum covering application protection, encrypted communications, identity and access controls, data protection, event analysis, vulnerability testing and recovery. Our services help enterprises limit inappropriate access, connect relevant evidence, support investigation and verify restoration.</w:t>
      </w:r>
    </w:p>
    <w:p>
      <w:pPr>
        <w:widowControl/>
        <w:spacing w:after="160" w:line="259" w:lineRule="auto"/>
        <w:ind w:left="0" w:right="0"/>
        <w:jc w:val="both"/>
      </w:pPr>
      <w:r>
        <w:t>We connect these controls around material business risks. Our approach begins with the evidence required to explain an event, assigns responsibility for decisions, tests legitimate exceptions and demonstrates recovery before expansion. Integrations, monitoring coverage and response responsibilities are agreed for each engagement, based on the client’s systems and operating capacity.</w:t>
      </w:r>
    </w:p>
    <w:p>
      <w:pPr>
        <w:pStyle w:val="Heading2"/>
        <w:keepNext/>
        <w:widowControl/>
        <w:ind w:left="0" w:right="0"/>
        <w:jc w:val="left"/>
      </w:pPr>
      <w:r>
        <w:rPr>
          <w:b/>
          <w:color w:val="16324A"/>
        </w:rPr>
        <w:t>Why the enterprise needs a connected approach</w:t>
      </w:r>
    </w:p>
    <w:p>
      <w:pPr>
        <w:widowControl/>
        <w:spacing w:after="160" w:line="259" w:lineRule="auto"/>
        <w:ind w:left="0" w:right="0"/>
        <w:jc w:val="both"/>
      </w:pPr>
      <w:r>
        <w:t>Customer records, financial workflows and critical applications depend on access that is both useful and controlled. Stolen credentials may appear legitimate. An insider may disclose information accidentally or deliberately. A firewall may filter hostile traffic while an authorised account exports sensitive records. Monitoring is valuable when it helps distinguish these situations and routes credible risks to a permitted response.</w:t>
      </w:r>
    </w:p>
    <w:p>
      <w:pPr>
        <w:widowControl/>
        <w:spacing w:after="160" w:line="259" w:lineRule="auto"/>
        <w:ind w:left="0" w:right="0"/>
        <w:jc w:val="both"/>
      </w:pPr>
      <w:r>
        <w:rPr>
          <w:b/>
        </w:rPr>
        <w:t xml:space="preserve">The intended business value </w:t>
      </w:r>
      <w:r>
        <w:t>is clearer access accountability, more usable incident evidence, prioritised remediation and tested continuity. These outcomes should be measured against a client baseline, rather than inferred from the volume of logs or the number of installed tools.</w:t>
      </w:r>
    </w:p>
    <w:p>
      <w:pPr>
        <w:pStyle w:val="Caption"/>
        <w:widowControl/>
        <w:ind w:left="0" w:right="0"/>
        <w:jc w:val="left"/>
      </w:pPr>
      <w:r>
        <w:t>Scope: corporate digital security monitoring and enterprise cybersecurity across identities, access, applications, sensitive information, security events, vulnerability management and recovery.</w:t>
      </w:r>
    </w:p>
    <w:p>
      <w:pPr>
        <w:pStyle w:val="Heading2"/>
        <w:keepNext/>
        <w:pageBreakBefore/>
        <w:widowControl/>
        <w:spacing w:before="0" w:after="180"/>
        <w:ind w:left="0" w:right="0"/>
        <w:jc w:val="left"/>
        <w:shd w:fill="EDF5F6"/>
      </w:pPr>
      <w:r>
        <w:rPr>
          <w:b/>
          <w:color w:val="087F8C"/>
          <w:sz w:val="32"/>
        </w:rPr>
        <w:t>01  /  Industry problems</w:t>
      </w:r>
    </w:p>
    <w:p>
      <w:pPr>
        <w:pStyle w:val="Heading1"/>
        <w:keepNext/>
        <w:widowControl/>
        <w:ind w:left="0" w:right="0"/>
        <w:jc w:val="left"/>
      </w:pPr>
      <w:r>
        <w:rPr>
          <w:b/>
          <w:color w:val="16324A"/>
        </w:rPr>
        <w:t>Where visibility and response break down</w:t>
      </w:r>
    </w:p>
    <w:p>
      <w:pPr>
        <w:widowControl/>
        <w:spacing w:after="160" w:line="259" w:lineRule="auto"/>
        <w:ind w:left="0" w:right="0"/>
        <w:jc w:val="both"/>
      </w:pPr>
      <w:r>
        <w:t>The security gap often lies between controls. A sign-in record identifies an account; an application log records an export; a data-protection alert identifies a destination. None alone establishes the approved task, the device involved or whether the account has been compromised. Delayed review, incomplete records and unclear authority can prolong uncertainty.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96"/>
        <w:gridCol w:w="4320"/>
        <w:gridCol w:w="2664"/>
      </w:tblGrid>
      <w:tr>
        <w:trPr>
          <w:cantSplit/>
          <w:tblHeader/>
        </w:trPr>
        <w:tc>
          <w:tcPr>
            <w:tcW w:type="dxa" w:w="3096"/>
            <w:vAlign w:val="center"/>
            <w:tcBorders>
              <w:top w:val="single" w:sz="4" w:color="D9D9D9"/>
              <w:left w:val="single" w:sz="4" w:color="D9D9D9"/>
              <w:bottom w:val="single" w:sz="4" w:color="D9D9D9"/>
              <w:right w:val="single" w:sz="4" w:color="D9D9D9"/>
            </w:tcBorders>
            <w:shd w:fill="16324A"/>
            <w:tcMar>
              <w:top w:w="90" w:type="dxa"/>
              <w:bottom w:w="90" w:type="dxa"/>
              <w:left w:w="105" w:type="dxa"/>
              <w:right w:w="105" w:type="dxa"/>
            </w:tcMar>
          </w:tcPr>
          <w:p>
            <w:pPr>
              <w:keepNext w:val="0"/>
              <w:spacing w:after="0" w:line="252" w:lineRule="auto" w:before="0"/>
              <w:jc w:val="left"/>
            </w:pPr>
            <w:r>
              <w:rPr>
                <w:b/>
                <w:color w:val="FFFFFF"/>
                <w:sz w:val="20"/>
              </w:rPr>
              <w:t>Security gap</w:t>
            </w:r>
          </w:p>
        </w:tc>
        <w:tc>
          <w:tcPr>
            <w:tcW w:type="dxa" w:w="4320"/>
            <w:vAlign w:val="center"/>
            <w:tcBorders>
              <w:top w:val="single" w:sz="4" w:color="D9D9D9"/>
              <w:left w:val="single" w:sz="4" w:color="D9D9D9"/>
              <w:bottom w:val="single" w:sz="4" w:color="D9D9D9"/>
              <w:right w:val="single" w:sz="4" w:color="D9D9D9"/>
            </w:tcBorders>
            <w:shd w:fill="16324A"/>
            <w:tcMar>
              <w:top w:w="90" w:type="dxa"/>
              <w:bottom w:w="90" w:type="dxa"/>
              <w:left w:w="105" w:type="dxa"/>
              <w:right w:w="105" w:type="dxa"/>
            </w:tcMar>
          </w:tcPr>
          <w:p>
            <w:pPr>
              <w:keepNext w:val="0"/>
              <w:spacing w:after="0" w:line="252" w:lineRule="auto" w:before="0"/>
              <w:jc w:val="left"/>
            </w:pPr>
            <w:r>
              <w:rPr>
                <w:b/>
                <w:color w:val="FFFFFF"/>
                <w:sz w:val="20"/>
              </w:rPr>
              <w:t>Practical consequence</w:t>
            </w:r>
          </w:p>
        </w:tc>
        <w:tc>
          <w:tcPr>
            <w:tcW w:type="dxa" w:w="2664"/>
            <w:vAlign w:val="center"/>
            <w:tcBorders>
              <w:top w:val="single" w:sz="4" w:color="D9D9D9"/>
              <w:left w:val="single" w:sz="4" w:color="D9D9D9"/>
              <w:bottom w:val="single" w:sz="4" w:color="D9D9D9"/>
              <w:right w:val="single" w:sz="4" w:color="D9D9D9"/>
            </w:tcBorders>
            <w:shd w:fill="16324A"/>
            <w:tcMar>
              <w:top w:w="90" w:type="dxa"/>
              <w:bottom w:w="90" w:type="dxa"/>
              <w:left w:w="105" w:type="dxa"/>
              <w:right w:w="105" w:type="dxa"/>
            </w:tcMar>
          </w:tcPr>
          <w:p>
            <w:pPr>
              <w:keepNext w:val="0"/>
              <w:spacing w:after="0" w:line="252" w:lineRule="auto" w:before="0"/>
              <w:jc w:val="left"/>
            </w:pPr>
            <w:r>
              <w:rPr>
                <w:b/>
                <w:color w:val="FFFFFF"/>
                <w:sz w:val="20"/>
              </w:rPr>
              <w:t>Required response</w:t>
            </w:r>
          </w:p>
        </w:tc>
      </w:tr>
      <w:tr>
        <w:trPr>
          <w:cantSplit/>
        </w:trPr>
        <w:tc>
          <w:tcPr>
            <w:tcW w:type="dxa" w:w="3096"/>
            <w:vAlign w:val="center"/>
            <w:tcBorders>
              <w:top w:val="single" w:sz="4" w:color="D9D9D9"/>
              <w:left w:val="single" w:sz="4" w:color="D9D9D9"/>
              <w:bottom w:val="single" w:sz="4" w:color="D9D9D9"/>
              <w:right w:val="single" w:sz="4" w:color="D9D9D9"/>
            </w:tcBorders>
            <w:shd w:fill="F0F5F8"/>
            <w:tcMar>
              <w:top w:w="90" w:type="dxa"/>
              <w:bottom w:w="90" w:type="dxa"/>
              <w:left w:w="105" w:type="dxa"/>
              <w:right w:w="105" w:type="dxa"/>
            </w:tcMar>
          </w:tcPr>
          <w:p>
            <w:pPr>
              <w:keepNext w:val="0"/>
              <w:spacing w:after="0" w:line="252" w:lineRule="auto" w:before="0"/>
              <w:jc w:val="left"/>
            </w:pPr>
            <w:r>
              <w:rPr>
                <w:b/>
                <w:color w:val="263442"/>
                <w:sz w:val="20"/>
              </w:rPr>
              <w:t>Fragmented visibility</w:t>
            </w:r>
          </w:p>
        </w:tc>
        <w:tc>
          <w:tcPr>
            <w:tcW w:type="dxa" w:w="4320"/>
            <w:vAlign w:val="center"/>
            <w:tcBorders>
              <w:top w:val="single" w:sz="4" w:color="D9D9D9"/>
              <w:left w:val="single" w:sz="4" w:color="D9D9D9"/>
              <w:bottom w:val="single" w:sz="4" w:color="D9D9D9"/>
              <w:right w:val="single" w:sz="4" w:color="D9D9D9"/>
            </w:tcBorders>
            <w:shd w:fill="F0F5F8"/>
            <w:tcMar>
              <w:top w:w="90" w:type="dxa"/>
              <w:bottom w:w="90" w:type="dxa"/>
              <w:left w:w="105" w:type="dxa"/>
              <w:right w:w="105" w:type="dxa"/>
            </w:tcMar>
          </w:tcPr>
          <w:p>
            <w:pPr>
              <w:keepNext w:val="0"/>
              <w:spacing w:after="0" w:line="252" w:lineRule="auto" w:before="0"/>
              <w:jc w:val="left"/>
            </w:pPr>
            <w:r>
              <w:rPr>
                <w:b w:val="0"/>
                <w:color w:val="263442"/>
                <w:sz w:val="20"/>
              </w:rPr>
              <w:t>Relevant events remain disconnected or critical sources are missing.</w:t>
            </w:r>
          </w:p>
        </w:tc>
        <w:tc>
          <w:tcPr>
            <w:tcW w:type="dxa" w:w="2664"/>
            <w:vAlign w:val="center"/>
            <w:tcBorders>
              <w:top w:val="single" w:sz="4" w:color="D9D9D9"/>
              <w:left w:val="single" w:sz="4" w:color="D9D9D9"/>
              <w:bottom w:val="single" w:sz="4" w:color="D9D9D9"/>
              <w:right w:val="single" w:sz="4" w:color="D9D9D9"/>
            </w:tcBorders>
            <w:shd w:fill="F0F5F8"/>
            <w:tcMar>
              <w:top w:w="90" w:type="dxa"/>
              <w:bottom w:w="90" w:type="dxa"/>
              <w:left w:w="105" w:type="dxa"/>
              <w:right w:w="105" w:type="dxa"/>
            </w:tcMar>
          </w:tcPr>
          <w:p>
            <w:pPr>
              <w:keepNext w:val="0"/>
              <w:spacing w:after="0" w:line="252" w:lineRule="auto" w:before="0"/>
              <w:jc w:val="left"/>
            </w:pPr>
            <w:r>
              <w:rPr>
                <w:b w:val="0"/>
                <w:color w:val="263442"/>
                <w:sz w:val="20"/>
              </w:rPr>
              <w:t>Link selected records using reliable identities and timestamps.</w:t>
            </w:r>
          </w:p>
        </w:tc>
      </w:tr>
      <w:tr>
        <w:trPr>
          <w:cantSplit/>
        </w:trPr>
        <w:tc>
          <w:tcPr>
            <w:tcW w:type="dxa" w:w="3096"/>
            <w:vAlign w:val="center"/>
            <w:tcBorders>
              <w:top w:val="single" w:sz="4" w:color="D9D9D9"/>
              <w:left w:val="single" w:sz="4" w:color="D9D9D9"/>
              <w:bottom w:val="single" w:sz="4" w:color="D9D9D9"/>
              <w:right w:val="single" w:sz="4" w:color="D9D9D9"/>
            </w:tcBorders>
            <w:shd w:fill="FFFFFF"/>
            <w:tcMar>
              <w:top w:w="90" w:type="dxa"/>
              <w:bottom w:w="90" w:type="dxa"/>
              <w:left w:w="105" w:type="dxa"/>
              <w:right w:w="105" w:type="dxa"/>
            </w:tcMar>
          </w:tcPr>
          <w:p>
            <w:pPr>
              <w:keepNext w:val="0"/>
              <w:spacing w:after="0" w:line="252" w:lineRule="auto" w:before="0"/>
              <w:jc w:val="left"/>
            </w:pPr>
            <w:r>
              <w:rPr>
                <w:b/>
                <w:color w:val="263442"/>
                <w:sz w:val="20"/>
              </w:rPr>
              <w:t>Unauthorised or excessive access</w:t>
            </w:r>
          </w:p>
        </w:tc>
        <w:tc>
          <w:tcPr>
            <w:tcW w:type="dxa" w:w="4320"/>
            <w:vAlign w:val="center"/>
            <w:tcBorders>
              <w:top w:val="single" w:sz="4" w:color="D9D9D9"/>
              <w:left w:val="single" w:sz="4" w:color="D9D9D9"/>
              <w:bottom w:val="single" w:sz="4" w:color="D9D9D9"/>
              <w:right w:val="single" w:sz="4" w:color="D9D9D9"/>
            </w:tcBorders>
            <w:shd w:fill="FFFFFF"/>
            <w:tcMar>
              <w:top w:w="90" w:type="dxa"/>
              <w:bottom w:w="90" w:type="dxa"/>
              <w:left w:w="105" w:type="dxa"/>
              <w:right w:w="105" w:type="dxa"/>
            </w:tcMar>
          </w:tcPr>
          <w:p>
            <w:pPr>
              <w:keepNext w:val="0"/>
              <w:spacing w:after="0" w:line="252" w:lineRule="auto" w:before="0"/>
              <w:jc w:val="left"/>
            </w:pPr>
            <w:r>
              <w:rPr>
                <w:b w:val="0"/>
                <w:color w:val="263442"/>
                <w:sz w:val="20"/>
              </w:rPr>
              <w:t>Dormant accounts, old permissions or supplier access expose sensitive resources.</w:t>
            </w:r>
          </w:p>
        </w:tc>
        <w:tc>
          <w:tcPr>
            <w:tcW w:type="dxa" w:w="2664"/>
            <w:vAlign w:val="center"/>
            <w:tcBorders>
              <w:top w:val="single" w:sz="4" w:color="D9D9D9"/>
              <w:left w:val="single" w:sz="4" w:color="D9D9D9"/>
              <w:bottom w:val="single" w:sz="4" w:color="D9D9D9"/>
              <w:right w:val="single" w:sz="4" w:color="D9D9D9"/>
            </w:tcBorders>
            <w:shd w:fill="FFFFFF"/>
            <w:tcMar>
              <w:top w:w="90" w:type="dxa"/>
              <w:bottom w:w="90" w:type="dxa"/>
              <w:left w:w="105" w:type="dxa"/>
              <w:right w:w="105" w:type="dxa"/>
            </w:tcMar>
          </w:tcPr>
          <w:p>
            <w:pPr>
              <w:keepNext w:val="0"/>
              <w:spacing w:after="0" w:line="252" w:lineRule="auto" w:before="0"/>
              <w:jc w:val="left"/>
            </w:pPr>
            <w:r>
              <w:rPr>
                <w:b w:val="0"/>
                <w:color w:val="263442"/>
                <w:sz w:val="20"/>
              </w:rPr>
              <w:t>Manage account lifecycles, verify sign-ins and review privileges.</w:t>
            </w:r>
          </w:p>
        </w:tc>
      </w:tr>
      <w:tr>
        <w:trPr>
          <w:cantSplit/>
        </w:trPr>
        <w:tc>
          <w:tcPr>
            <w:tcW w:type="dxa" w:w="3096"/>
            <w:vAlign w:val="center"/>
            <w:tcBorders>
              <w:top w:val="single" w:sz="4" w:color="D9D9D9"/>
              <w:left w:val="single" w:sz="4" w:color="D9D9D9"/>
              <w:bottom w:val="single" w:sz="4" w:color="D9D9D9"/>
              <w:right w:val="single" w:sz="4" w:color="D9D9D9"/>
            </w:tcBorders>
            <w:shd w:fill="F0F5F8"/>
            <w:tcMar>
              <w:top w:w="90" w:type="dxa"/>
              <w:bottom w:w="90" w:type="dxa"/>
              <w:left w:w="105" w:type="dxa"/>
              <w:right w:w="105" w:type="dxa"/>
            </w:tcMar>
          </w:tcPr>
          <w:p>
            <w:pPr>
              <w:keepNext w:val="0"/>
              <w:spacing w:after="0" w:line="252" w:lineRule="auto" w:before="0"/>
              <w:jc w:val="left"/>
            </w:pPr>
            <w:r>
              <w:rPr>
                <w:b/>
                <w:color w:val="263442"/>
                <w:sz w:val="20"/>
              </w:rPr>
              <w:t>Cyber threats and insider risk</w:t>
            </w:r>
          </w:p>
        </w:tc>
        <w:tc>
          <w:tcPr>
            <w:tcW w:type="dxa" w:w="4320"/>
            <w:vAlign w:val="center"/>
            <w:tcBorders>
              <w:top w:val="single" w:sz="4" w:color="D9D9D9"/>
              <w:left w:val="single" w:sz="4" w:color="D9D9D9"/>
              <w:bottom w:val="single" w:sz="4" w:color="D9D9D9"/>
              <w:right w:val="single" w:sz="4" w:color="D9D9D9"/>
            </w:tcBorders>
            <w:shd w:fill="F0F5F8"/>
            <w:tcMar>
              <w:top w:w="90" w:type="dxa"/>
              <w:bottom w:w="90" w:type="dxa"/>
              <w:left w:w="105" w:type="dxa"/>
              <w:right w:w="105" w:type="dxa"/>
            </w:tcMar>
          </w:tcPr>
          <w:p>
            <w:pPr>
              <w:keepNext w:val="0"/>
              <w:spacing w:after="0" w:line="252" w:lineRule="auto" w:before="0"/>
              <w:jc w:val="left"/>
            </w:pPr>
            <w:r>
              <w:rPr>
                <w:b w:val="0"/>
                <w:color w:val="263442"/>
                <w:sz w:val="20"/>
              </w:rPr>
              <w:t>Hostile requests or risky transfers can resemble routine activity.</w:t>
            </w:r>
          </w:p>
        </w:tc>
        <w:tc>
          <w:tcPr>
            <w:tcW w:type="dxa" w:w="2664"/>
            <w:vAlign w:val="center"/>
            <w:tcBorders>
              <w:top w:val="single" w:sz="4" w:color="D9D9D9"/>
              <w:left w:val="single" w:sz="4" w:color="D9D9D9"/>
              <w:bottom w:val="single" w:sz="4" w:color="D9D9D9"/>
              <w:right w:val="single" w:sz="4" w:color="D9D9D9"/>
            </w:tcBorders>
            <w:shd w:fill="F0F5F8"/>
            <w:tcMar>
              <w:top w:w="90" w:type="dxa"/>
              <w:bottom w:w="90" w:type="dxa"/>
              <w:left w:w="105" w:type="dxa"/>
              <w:right w:w="105" w:type="dxa"/>
            </w:tcMar>
          </w:tcPr>
          <w:p>
            <w:pPr>
              <w:keepNext w:val="0"/>
              <w:spacing w:after="0" w:line="252" w:lineRule="auto" w:before="0"/>
              <w:jc w:val="left"/>
            </w:pPr>
            <w:r>
              <w:rPr>
                <w:b w:val="0"/>
                <w:color w:val="263442"/>
                <w:sz w:val="20"/>
              </w:rPr>
              <w:t>Combine preventive controls with contextual investigation.</w:t>
            </w:r>
          </w:p>
        </w:tc>
      </w:tr>
      <w:tr>
        <w:trPr>
          <w:cantSplit/>
        </w:trPr>
        <w:tc>
          <w:tcPr>
            <w:tcW w:type="dxa" w:w="3096"/>
            <w:vAlign w:val="center"/>
            <w:tcBorders>
              <w:top w:val="single" w:sz="4" w:color="D9D9D9"/>
              <w:left w:val="single" w:sz="4" w:color="D9D9D9"/>
              <w:bottom w:val="single" w:sz="4" w:color="D9D9D9"/>
              <w:right w:val="single" w:sz="4" w:color="D9D9D9"/>
            </w:tcBorders>
            <w:shd w:fill="FFFFFF"/>
            <w:tcMar>
              <w:top w:w="90" w:type="dxa"/>
              <w:bottom w:w="90" w:type="dxa"/>
              <w:left w:w="105" w:type="dxa"/>
              <w:right w:w="105" w:type="dxa"/>
            </w:tcMar>
          </w:tcPr>
          <w:p>
            <w:pPr>
              <w:keepNext w:val="0"/>
              <w:spacing w:after="0" w:line="252" w:lineRule="auto" w:before="0"/>
              <w:jc w:val="left"/>
            </w:pPr>
            <w:r>
              <w:rPr>
                <w:b/>
                <w:color w:val="263442"/>
                <w:sz w:val="20"/>
              </w:rPr>
              <w:t>Weak response coordination</w:t>
            </w:r>
          </w:p>
        </w:tc>
        <w:tc>
          <w:tcPr>
            <w:tcW w:type="dxa" w:w="4320"/>
            <w:vAlign w:val="center"/>
            <w:tcBorders>
              <w:top w:val="single" w:sz="4" w:color="D9D9D9"/>
              <w:left w:val="single" w:sz="4" w:color="D9D9D9"/>
              <w:bottom w:val="single" w:sz="4" w:color="D9D9D9"/>
              <w:right w:val="single" w:sz="4" w:color="D9D9D9"/>
            </w:tcBorders>
            <w:shd w:fill="FFFFFF"/>
            <w:tcMar>
              <w:top w:w="90" w:type="dxa"/>
              <w:bottom w:w="90" w:type="dxa"/>
              <w:left w:w="105" w:type="dxa"/>
              <w:right w:w="105" w:type="dxa"/>
            </w:tcMar>
          </w:tcPr>
          <w:p>
            <w:pPr>
              <w:keepNext w:val="0"/>
              <w:spacing w:after="0" w:line="252" w:lineRule="auto" w:before="0"/>
              <w:jc w:val="left"/>
            </w:pPr>
            <w:r>
              <w:rPr>
                <w:b w:val="0"/>
                <w:color w:val="263442"/>
                <w:sz w:val="20"/>
              </w:rPr>
              <w:t>Alerts wait without an owner, decision path or containment authority.</w:t>
            </w:r>
          </w:p>
        </w:tc>
        <w:tc>
          <w:tcPr>
            <w:tcW w:type="dxa" w:w="2664"/>
            <w:vAlign w:val="center"/>
            <w:tcBorders>
              <w:top w:val="single" w:sz="4" w:color="D9D9D9"/>
              <w:left w:val="single" w:sz="4" w:color="D9D9D9"/>
              <w:bottom w:val="single" w:sz="4" w:color="D9D9D9"/>
              <w:right w:val="single" w:sz="4" w:color="D9D9D9"/>
            </w:tcBorders>
            <w:shd w:fill="FFFFFF"/>
            <w:tcMar>
              <w:top w:w="90" w:type="dxa"/>
              <w:bottom w:w="90" w:type="dxa"/>
              <w:left w:w="105" w:type="dxa"/>
              <w:right w:w="105" w:type="dxa"/>
            </w:tcMar>
          </w:tcPr>
          <w:p>
            <w:pPr>
              <w:keepNext w:val="0"/>
              <w:spacing w:after="0" w:line="252" w:lineRule="auto" w:before="0"/>
              <w:jc w:val="left"/>
            </w:pPr>
            <w:r>
              <w:rPr>
                <w:b w:val="0"/>
                <w:color w:val="263442"/>
                <w:sz w:val="20"/>
              </w:rPr>
              <w:t>Assign reviewers, escalation routes and authorised actions.</w:t>
            </w:r>
          </w:p>
        </w:tc>
      </w:tr>
      <w:tr>
        <w:trPr>
          <w:cantSplit/>
        </w:trPr>
        <w:tc>
          <w:tcPr>
            <w:tcW w:type="dxa" w:w="3096"/>
            <w:vAlign w:val="center"/>
            <w:tcBorders>
              <w:top w:val="single" w:sz="4" w:color="D9D9D9"/>
              <w:left w:val="single" w:sz="4" w:color="D9D9D9"/>
              <w:bottom w:val="single" w:sz="4" w:color="D9D9D9"/>
              <w:right w:val="single" w:sz="4" w:color="D9D9D9"/>
            </w:tcBorders>
            <w:shd w:fill="F0F5F8"/>
            <w:tcMar>
              <w:top w:w="90" w:type="dxa"/>
              <w:bottom w:w="90" w:type="dxa"/>
              <w:left w:w="105" w:type="dxa"/>
              <w:right w:w="105" w:type="dxa"/>
            </w:tcMar>
          </w:tcPr>
          <w:p>
            <w:pPr>
              <w:keepNext w:val="0"/>
              <w:spacing w:after="0" w:line="252" w:lineRule="auto" w:before="0"/>
              <w:jc w:val="left"/>
            </w:pPr>
            <w:r>
              <w:rPr>
                <w:b/>
                <w:color w:val="263442"/>
                <w:sz w:val="20"/>
              </w:rPr>
              <w:t>Unverified continuity</w:t>
            </w:r>
          </w:p>
        </w:tc>
        <w:tc>
          <w:tcPr>
            <w:tcW w:type="dxa" w:w="4320"/>
            <w:vAlign w:val="center"/>
            <w:tcBorders>
              <w:top w:val="single" w:sz="4" w:color="D9D9D9"/>
              <w:left w:val="single" w:sz="4" w:color="D9D9D9"/>
              <w:bottom w:val="single" w:sz="4" w:color="D9D9D9"/>
              <w:right w:val="single" w:sz="4" w:color="D9D9D9"/>
            </w:tcBorders>
            <w:shd w:fill="F0F5F8"/>
            <w:tcMar>
              <w:top w:w="90" w:type="dxa"/>
              <w:bottom w:w="90" w:type="dxa"/>
              <w:left w:w="105" w:type="dxa"/>
              <w:right w:w="105" w:type="dxa"/>
            </w:tcMar>
          </w:tcPr>
          <w:p>
            <w:pPr>
              <w:keepNext w:val="0"/>
              <w:spacing w:after="0" w:line="252" w:lineRule="auto" w:before="0"/>
              <w:jc w:val="left"/>
            </w:pPr>
            <w:r>
              <w:rPr>
                <w:b w:val="0"/>
                <w:color w:val="263442"/>
                <w:sz w:val="20"/>
              </w:rPr>
              <w:t>A completed backup job may not restore the required workflow.</w:t>
            </w:r>
          </w:p>
        </w:tc>
        <w:tc>
          <w:tcPr>
            <w:tcW w:type="dxa" w:w="2664"/>
            <w:vAlign w:val="center"/>
            <w:tcBorders>
              <w:top w:val="single" w:sz="4" w:color="D9D9D9"/>
              <w:left w:val="single" w:sz="4" w:color="D9D9D9"/>
              <w:bottom w:val="single" w:sz="4" w:color="D9D9D9"/>
              <w:right w:val="single" w:sz="4" w:color="D9D9D9"/>
            </w:tcBorders>
            <w:shd w:fill="F0F5F8"/>
            <w:tcMar>
              <w:top w:w="90" w:type="dxa"/>
              <w:bottom w:w="90" w:type="dxa"/>
              <w:left w:w="105" w:type="dxa"/>
              <w:right w:w="105" w:type="dxa"/>
            </w:tcMar>
          </w:tcPr>
          <w:p>
            <w:pPr>
              <w:keepNext w:val="0"/>
              <w:spacing w:after="0" w:line="252" w:lineRule="auto" w:before="0"/>
              <w:jc w:val="left"/>
            </w:pPr>
            <w:r>
              <w:rPr>
                <w:b w:val="0"/>
                <w:color w:val="263442"/>
                <w:sz w:val="20"/>
              </w:rPr>
              <w:t>Test recovery and close underlying weaknesses.</w:t>
            </w:r>
          </w:p>
        </w:tc>
      </w:tr>
    </w:tbl>
    <w:p>
      <w:pPr>
        <w:pStyle w:val="Heading2"/>
        <w:keepNext/>
        <w:widowControl/>
        <w:ind w:left="0" w:right="0"/>
        <w:jc w:val="left"/>
      </w:pPr>
      <w:r>
        <w:rPr>
          <w:b/>
          <w:color w:val="16324A"/>
        </w:rPr>
        <w:t>Monitoring prevention and recovery</w:t>
      </w:r>
    </w:p>
    <w:p>
      <w:pPr>
        <w:widowControl/>
        <w:spacing w:after="160" w:line="259" w:lineRule="auto"/>
        <w:ind w:left="0" w:right="0"/>
        <w:jc w:val="both"/>
      </w:pPr>
      <w:r>
        <w:rPr>
          <w:b/>
        </w:rPr>
        <w:t xml:space="preserve">Digital security monitoring </w:t>
      </w:r>
      <w:r>
        <w:t>reviews approved sign-in, application, administrative, endpoint and data-transfer events. A3M Labs configures monitoring to connect relevant evidence and support investigation. Reviewers assess alerts against business context before drawing conclusions or authorising action.</w:t>
      </w:r>
    </w:p>
    <w:p>
      <w:pPr>
        <w:widowControl/>
        <w:spacing w:after="160" w:line="259" w:lineRule="auto"/>
        <w:ind w:left="0" w:right="0"/>
        <w:jc w:val="both"/>
      </w:pPr>
      <w:r>
        <w:rPr>
          <w:b/>
        </w:rPr>
        <w:t xml:space="preserve">Cybersecurity </w:t>
      </w:r>
      <w:r>
        <w:t>combines this visibility with controls that prevent compromise, correct weaknesses and restore operations. A3M Labs implements suitable controls, supports incident investigation and verifies remediation and recovery within the agreed service scope.</w:t>
      </w:r>
    </w:p>
    <w:p>
      <w:pPr>
        <w:pStyle w:val="Heading2"/>
        <w:keepNext/>
        <w:pageBreakBefore/>
        <w:widowControl/>
        <w:spacing w:before="0" w:after="180"/>
        <w:ind w:left="0" w:right="0"/>
        <w:jc w:val="left"/>
        <w:shd w:fill="EDF5F6"/>
      </w:pPr>
      <w:r>
        <w:rPr>
          <w:b/>
          <w:color w:val="087F8C"/>
          <w:sz w:val="32"/>
        </w:rPr>
        <w:t>02  /  A3M Labs services</w:t>
      </w:r>
    </w:p>
    <w:p>
      <w:pPr>
        <w:pStyle w:val="Heading1"/>
        <w:keepNext/>
        <w:widowControl/>
        <w:ind w:left="0" w:right="0"/>
        <w:jc w:val="left"/>
      </w:pPr>
      <w:r>
        <w:rPr>
          <w:b/>
          <w:color w:val="16324A"/>
        </w:rPr>
        <w:t>Protect applications data access and recovery</w:t>
      </w:r>
    </w:p>
    <w:p>
      <w:pPr>
        <w:widowControl/>
        <w:spacing w:after="160" w:line="259" w:lineRule="auto"/>
        <w:ind w:left="0" w:right="0"/>
        <w:jc w:val="both"/>
      </w:pPr>
      <w:r>
        <w:t>A3M Labs protects enterprise applications, communications, access and sensitive data. These services combine preventive controls with monitoring and investigation support, using technologies suited to the enterprise environment.</w:t>
      </w:r>
    </w:p>
    <w:p>
      <w:pPr>
        <w:widowControl/>
        <w:spacing w:after="160" w:line="259" w:lineRule="auto"/>
        <w:ind w:left="0" w:right="0"/>
        <w:jc w:val="both"/>
      </w:pPr>
      <w:r>
        <w:t>A3M Labs strengthens identity verification, controls role permissions, tests vulnerabilities and prepares recovery. Access management, role permissions, sign-in verification and central sign-on address distinct requirements within a connected security programme.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96"/>
        <w:gridCol w:w="4320"/>
        <w:gridCol w:w="2664"/>
      </w:tblGrid>
      <w:tr>
        <w:trPr>
          <w:cantSplit/>
          <w:tblHeader/>
        </w:trPr>
        <w:tc>
          <w:tcPr>
            <w:tcW w:type="dxa" w:w="3096"/>
            <w:vAlign w:val="center"/>
            <w:tcBorders>
              <w:top w:val="single" w:sz="4" w:color="D9D9D9"/>
              <w:left w:val="single" w:sz="4" w:color="D9D9D9"/>
              <w:bottom w:val="single" w:sz="4" w:color="D9D9D9"/>
              <w:right w:val="single" w:sz="4" w:color="D9D9D9"/>
            </w:tcBorders>
            <w:shd w:fill="16324A"/>
            <w:tcMar>
              <w:top w:w="90" w:type="dxa"/>
              <w:bottom w:w="90" w:type="dxa"/>
              <w:left w:w="105" w:type="dxa"/>
              <w:right w:w="105" w:type="dxa"/>
            </w:tcMar>
          </w:tcPr>
          <w:p>
            <w:pPr>
              <w:keepNext w:val="0"/>
              <w:spacing w:after="0" w:line="252" w:lineRule="auto" w:before="0"/>
              <w:jc w:val="left"/>
            </w:pPr>
            <w:r>
              <w:rPr>
                <w:b/>
                <w:color w:val="FFFFFF"/>
                <w:sz w:val="20"/>
              </w:rPr>
              <w:t>Service and problem</w:t>
            </w:r>
          </w:p>
        </w:tc>
        <w:tc>
          <w:tcPr>
            <w:tcW w:type="dxa" w:w="4320"/>
            <w:vAlign w:val="center"/>
            <w:tcBorders>
              <w:top w:val="single" w:sz="4" w:color="D9D9D9"/>
              <w:left w:val="single" w:sz="4" w:color="D9D9D9"/>
              <w:bottom w:val="single" w:sz="4" w:color="D9D9D9"/>
              <w:right w:val="single" w:sz="4" w:color="D9D9D9"/>
            </w:tcBorders>
            <w:shd w:fill="16324A"/>
            <w:tcMar>
              <w:top w:w="90" w:type="dxa"/>
              <w:bottom w:w="90" w:type="dxa"/>
              <w:left w:w="105" w:type="dxa"/>
              <w:right w:w="105" w:type="dxa"/>
            </w:tcMar>
          </w:tcPr>
          <w:p>
            <w:pPr>
              <w:keepNext w:val="0"/>
              <w:spacing w:after="0" w:line="252" w:lineRule="auto" w:before="0"/>
              <w:jc w:val="left"/>
            </w:pPr>
            <w:r>
              <w:rPr>
                <w:b/>
                <w:color w:val="FFFFFF"/>
                <w:sz w:val="20"/>
              </w:rPr>
              <w:t>A3M Labs service and technology options</w:t>
            </w:r>
          </w:p>
        </w:tc>
        <w:tc>
          <w:tcPr>
            <w:tcW w:type="dxa" w:w="2664"/>
            <w:vAlign w:val="center"/>
            <w:tcBorders>
              <w:top w:val="single" w:sz="4" w:color="D9D9D9"/>
              <w:left w:val="single" w:sz="4" w:color="D9D9D9"/>
              <w:bottom w:val="single" w:sz="4" w:color="D9D9D9"/>
              <w:right w:val="single" w:sz="4" w:color="D9D9D9"/>
            </w:tcBorders>
            <w:shd w:fill="16324A"/>
            <w:tcMar>
              <w:top w:w="90" w:type="dxa"/>
              <w:bottom w:w="90" w:type="dxa"/>
              <w:left w:w="105" w:type="dxa"/>
              <w:right w:w="105" w:type="dxa"/>
            </w:tcMar>
          </w:tcPr>
          <w:p>
            <w:pPr>
              <w:keepNext w:val="0"/>
              <w:spacing w:after="0" w:line="252" w:lineRule="auto" w:before="0"/>
              <w:jc w:val="left"/>
            </w:pPr>
            <w:r>
              <w:rPr>
                <w:b/>
                <w:color w:val="FFFFFF"/>
                <w:sz w:val="20"/>
              </w:rPr>
              <w:t>Intended benefit</w:t>
            </w:r>
          </w:p>
        </w:tc>
      </w:tr>
      <w:tr>
        <w:trPr>
          <w:cantSplit/>
        </w:trPr>
        <w:tc>
          <w:tcPr>
            <w:tcW w:type="dxa" w:w="3096"/>
            <w:vAlign w:val="center"/>
            <w:tcBorders>
              <w:top w:val="single" w:sz="4" w:color="D9D9D9"/>
              <w:left w:val="single" w:sz="4" w:color="D9D9D9"/>
              <w:bottom w:val="single" w:sz="4" w:color="D9D9D9"/>
              <w:right w:val="single" w:sz="4" w:color="D9D9D9"/>
            </w:tcBorders>
            <w:shd w:fill="F0F5F8"/>
            <w:tcMar>
              <w:top w:w="90" w:type="dxa"/>
              <w:bottom w:w="90" w:type="dxa"/>
              <w:left w:w="105" w:type="dxa"/>
              <w:right w:w="105" w:type="dxa"/>
            </w:tcMar>
          </w:tcPr>
          <w:p>
            <w:pPr>
              <w:keepNext w:val="0"/>
              <w:spacing w:after="0" w:line="252" w:lineRule="auto" w:before="0"/>
              <w:jc w:val="left"/>
            </w:pPr>
            <w:r>
              <w:rPr>
                <w:b/>
                <w:color w:val="263442"/>
                <w:sz w:val="20"/>
              </w:rPr>
              <w:t>01  Web Application Firewall</w:t>
            </w:r>
            <w:r>
              <w:rPr>
                <w:b/>
                <w:color w:val="263442"/>
                <w:sz w:val="20"/>
              </w:rPr>
              <w:br/>
              <w:t>Hostile web and application programming interface (API) requests.</w:t>
            </w:r>
          </w:p>
        </w:tc>
        <w:tc>
          <w:tcPr>
            <w:tcW w:type="dxa" w:w="4320"/>
            <w:vAlign w:val="center"/>
            <w:tcBorders>
              <w:top w:val="single" w:sz="4" w:color="D9D9D9"/>
              <w:left w:val="single" w:sz="4" w:color="D9D9D9"/>
              <w:bottom w:val="single" w:sz="4" w:color="D9D9D9"/>
              <w:right w:val="single" w:sz="4" w:color="D9D9D9"/>
            </w:tcBorders>
            <w:shd w:fill="F0F5F8"/>
            <w:tcMar>
              <w:top w:w="90" w:type="dxa"/>
              <w:bottom w:w="90" w:type="dxa"/>
              <w:left w:w="105" w:type="dxa"/>
              <w:right w:w="105" w:type="dxa"/>
            </w:tcMar>
          </w:tcPr>
          <w:p>
            <w:pPr>
              <w:keepNext w:val="0"/>
              <w:spacing w:after="0" w:line="252" w:lineRule="auto" w:before="0"/>
              <w:jc w:val="left"/>
            </w:pPr>
            <w:r>
              <w:rPr>
                <w:b w:val="0"/>
                <w:color w:val="263442"/>
                <w:sz w:val="20"/>
              </w:rPr>
              <w:t>A3M Labs deploys, configures and tunes traffic rules, rate limits and API protection; monitors and reports. Options include Cloudflare, AWS WAF and Azure WAF.</w:t>
            </w:r>
          </w:p>
        </w:tc>
        <w:tc>
          <w:tcPr>
            <w:tcW w:type="dxa" w:w="2664"/>
            <w:vAlign w:val="center"/>
            <w:tcBorders>
              <w:top w:val="single" w:sz="4" w:color="D9D9D9"/>
              <w:left w:val="single" w:sz="4" w:color="D9D9D9"/>
              <w:bottom w:val="single" w:sz="4" w:color="D9D9D9"/>
              <w:right w:val="single" w:sz="4" w:color="D9D9D9"/>
            </w:tcBorders>
            <w:shd w:fill="F0F5F8"/>
            <w:tcMar>
              <w:top w:w="90" w:type="dxa"/>
              <w:bottom w:w="90" w:type="dxa"/>
              <w:left w:w="105" w:type="dxa"/>
              <w:right w:w="105" w:type="dxa"/>
            </w:tcMar>
          </w:tcPr>
          <w:p>
            <w:pPr>
              <w:keepNext w:val="0"/>
              <w:spacing w:after="0" w:line="252" w:lineRule="auto" w:before="0"/>
              <w:jc w:val="left"/>
            </w:pPr>
            <w:r>
              <w:rPr>
                <w:b w:val="0"/>
                <w:color w:val="263442"/>
                <w:sz w:val="20"/>
              </w:rPr>
              <w:t>Limit malicious application traffic while retaining legitimate access.</w:t>
            </w:r>
          </w:p>
        </w:tc>
      </w:tr>
      <w:tr>
        <w:trPr>
          <w:cantSplit/>
        </w:trPr>
        <w:tc>
          <w:tcPr>
            <w:tcW w:type="dxa" w:w="3096"/>
            <w:vAlign w:val="center"/>
            <w:tcBorders>
              <w:top w:val="single" w:sz="4" w:color="D9D9D9"/>
              <w:left w:val="single" w:sz="4" w:color="D9D9D9"/>
              <w:bottom w:val="single" w:sz="4" w:color="D9D9D9"/>
              <w:right w:val="single" w:sz="4" w:color="D9D9D9"/>
            </w:tcBorders>
            <w:shd w:fill="FFFFFF"/>
            <w:tcMar>
              <w:top w:w="90" w:type="dxa"/>
              <w:bottom w:w="90" w:type="dxa"/>
              <w:left w:w="105" w:type="dxa"/>
              <w:right w:w="105" w:type="dxa"/>
            </w:tcMar>
          </w:tcPr>
          <w:p>
            <w:pPr>
              <w:keepNext w:val="0"/>
              <w:spacing w:after="0" w:line="252" w:lineRule="auto" w:before="0"/>
              <w:jc w:val="left"/>
            </w:pPr>
            <w:r>
              <w:rPr>
                <w:b/>
                <w:color w:val="263442"/>
                <w:sz w:val="20"/>
              </w:rPr>
              <w:t>02  SSL / TLS Security</w:t>
            </w:r>
            <w:r>
              <w:rPr>
                <w:b/>
                <w:color w:val="263442"/>
                <w:sz w:val="20"/>
              </w:rPr>
              <w:br/>
              <w:t>Exposed communications, expired certificates and weak configurations.</w:t>
            </w:r>
          </w:p>
        </w:tc>
        <w:tc>
          <w:tcPr>
            <w:tcW w:type="dxa" w:w="4320"/>
            <w:vAlign w:val="center"/>
            <w:tcBorders>
              <w:top w:val="single" w:sz="4" w:color="D9D9D9"/>
              <w:left w:val="single" w:sz="4" w:color="D9D9D9"/>
              <w:bottom w:val="single" w:sz="4" w:color="D9D9D9"/>
              <w:right w:val="single" w:sz="4" w:color="D9D9D9"/>
            </w:tcBorders>
            <w:shd w:fill="FFFFFF"/>
            <w:tcMar>
              <w:top w:w="90" w:type="dxa"/>
              <w:bottom w:w="90" w:type="dxa"/>
              <w:left w:w="105" w:type="dxa"/>
              <w:right w:w="105" w:type="dxa"/>
            </w:tcMar>
          </w:tcPr>
          <w:p>
            <w:pPr>
              <w:keepNext w:val="0"/>
              <w:spacing w:after="0" w:line="252" w:lineRule="auto" w:before="0"/>
              <w:jc w:val="left"/>
            </w:pPr>
            <w:r>
              <w:rPr>
                <w:b w:val="0"/>
                <w:color w:val="263442"/>
                <w:sz w:val="20"/>
              </w:rPr>
              <w:t>A3M Labs manages certificate procurement, installation, inventory, expiry, renewal and TLS review. Options include DigiCert, Let’s Encrypt and AWS Certificate Manager.</w:t>
            </w:r>
          </w:p>
        </w:tc>
        <w:tc>
          <w:tcPr>
            <w:tcW w:type="dxa" w:w="2664"/>
            <w:vAlign w:val="center"/>
            <w:tcBorders>
              <w:top w:val="single" w:sz="4" w:color="D9D9D9"/>
              <w:left w:val="single" w:sz="4" w:color="D9D9D9"/>
              <w:bottom w:val="single" w:sz="4" w:color="D9D9D9"/>
              <w:right w:val="single" w:sz="4" w:color="D9D9D9"/>
            </w:tcBorders>
            <w:shd w:fill="FFFFFF"/>
            <w:tcMar>
              <w:top w:w="90" w:type="dxa"/>
              <w:bottom w:w="90" w:type="dxa"/>
              <w:left w:w="105" w:type="dxa"/>
              <w:right w:w="105" w:type="dxa"/>
            </w:tcMar>
          </w:tcPr>
          <w:p>
            <w:pPr>
              <w:keepNext w:val="0"/>
              <w:spacing w:after="0" w:line="252" w:lineRule="auto" w:before="0"/>
              <w:jc w:val="left"/>
            </w:pPr>
            <w:r>
              <w:rPr>
                <w:b w:val="0"/>
                <w:color w:val="263442"/>
                <w:sz w:val="20"/>
              </w:rPr>
              <w:t>Protect data in transit and reduce certificate-related disruption.</w:t>
            </w:r>
          </w:p>
        </w:tc>
      </w:tr>
      <w:tr>
        <w:trPr>
          <w:cantSplit/>
        </w:trPr>
        <w:tc>
          <w:tcPr>
            <w:tcW w:type="dxa" w:w="3096"/>
            <w:vAlign w:val="center"/>
            <w:tcBorders>
              <w:top w:val="single" w:sz="4" w:color="D9D9D9"/>
              <w:left w:val="single" w:sz="4" w:color="D9D9D9"/>
              <w:bottom w:val="single" w:sz="4" w:color="D9D9D9"/>
              <w:right w:val="single" w:sz="4" w:color="D9D9D9"/>
            </w:tcBorders>
            <w:shd w:fill="F0F5F8"/>
            <w:tcMar>
              <w:top w:w="90" w:type="dxa"/>
              <w:bottom w:w="90" w:type="dxa"/>
              <w:left w:w="105" w:type="dxa"/>
              <w:right w:w="105" w:type="dxa"/>
            </w:tcMar>
          </w:tcPr>
          <w:p>
            <w:pPr>
              <w:keepNext w:val="0"/>
              <w:spacing w:after="0" w:line="252" w:lineRule="auto" w:before="0"/>
              <w:jc w:val="left"/>
            </w:pPr>
            <w:r>
              <w:rPr>
                <w:b/>
                <w:color w:val="263442"/>
                <w:sz w:val="20"/>
              </w:rPr>
              <w:t>03  User Access Management</w:t>
            </w:r>
            <w:r>
              <w:rPr>
                <w:b/>
                <w:color w:val="263442"/>
                <w:sz w:val="20"/>
              </w:rPr>
              <w:br/>
              <w:t>Outdated, dormant or inappropriate permissions.</w:t>
            </w:r>
          </w:p>
        </w:tc>
        <w:tc>
          <w:tcPr>
            <w:tcW w:type="dxa" w:w="4320"/>
            <w:vAlign w:val="center"/>
            <w:tcBorders>
              <w:top w:val="single" w:sz="4" w:color="D9D9D9"/>
              <w:left w:val="single" w:sz="4" w:color="D9D9D9"/>
              <w:bottom w:val="single" w:sz="4" w:color="D9D9D9"/>
              <w:right w:val="single" w:sz="4" w:color="D9D9D9"/>
            </w:tcBorders>
            <w:shd w:fill="F0F5F8"/>
            <w:tcMar>
              <w:top w:w="90" w:type="dxa"/>
              <w:bottom w:w="90" w:type="dxa"/>
              <w:left w:w="105" w:type="dxa"/>
              <w:right w:w="105" w:type="dxa"/>
            </w:tcMar>
          </w:tcPr>
          <w:p>
            <w:pPr>
              <w:keepNext w:val="0"/>
              <w:spacing w:after="0" w:line="252" w:lineRule="auto" w:before="0"/>
              <w:jc w:val="left"/>
            </w:pPr>
            <w:r>
              <w:rPr>
                <w:b w:val="0"/>
                <w:color w:val="263442"/>
                <w:sz w:val="20"/>
              </w:rPr>
              <w:t>A3M Labs manages provisioning, departures, access approvals, privileged and third-party access, reviews and activity monitoring. Options include Microsoft Entra ID, Okta and SailPoint.</w:t>
            </w:r>
          </w:p>
        </w:tc>
        <w:tc>
          <w:tcPr>
            <w:tcW w:type="dxa" w:w="2664"/>
            <w:vAlign w:val="center"/>
            <w:tcBorders>
              <w:top w:val="single" w:sz="4" w:color="D9D9D9"/>
              <w:left w:val="single" w:sz="4" w:color="D9D9D9"/>
              <w:bottom w:val="single" w:sz="4" w:color="D9D9D9"/>
              <w:right w:val="single" w:sz="4" w:color="D9D9D9"/>
            </w:tcBorders>
            <w:shd w:fill="F0F5F8"/>
            <w:tcMar>
              <w:top w:w="90" w:type="dxa"/>
              <w:bottom w:w="90" w:type="dxa"/>
              <w:left w:w="105" w:type="dxa"/>
              <w:right w:w="105" w:type="dxa"/>
            </w:tcMar>
          </w:tcPr>
          <w:p>
            <w:pPr>
              <w:keepNext w:val="0"/>
              <w:spacing w:after="0" w:line="252" w:lineRule="auto" w:before="0"/>
              <w:jc w:val="left"/>
            </w:pPr>
            <w:r>
              <w:rPr>
                <w:b w:val="0"/>
                <w:color w:val="263442"/>
                <w:sz w:val="20"/>
              </w:rPr>
              <w:t>Align access with current responsibilities and improve accountability.</w:t>
            </w:r>
          </w:p>
        </w:tc>
      </w:tr>
      <w:tr>
        <w:trPr>
          <w:cantSplit/>
        </w:trPr>
        <w:tc>
          <w:tcPr>
            <w:tcW w:type="dxa" w:w="3096"/>
            <w:vAlign w:val="center"/>
            <w:tcBorders>
              <w:top w:val="single" w:sz="4" w:color="D9D9D9"/>
              <w:left w:val="single" w:sz="4" w:color="D9D9D9"/>
              <w:bottom w:val="single" w:sz="4" w:color="D9D9D9"/>
              <w:right w:val="single" w:sz="4" w:color="D9D9D9"/>
            </w:tcBorders>
            <w:shd w:fill="FFFFFF"/>
            <w:tcMar>
              <w:top w:w="90" w:type="dxa"/>
              <w:bottom w:w="90" w:type="dxa"/>
              <w:left w:w="105" w:type="dxa"/>
              <w:right w:w="105" w:type="dxa"/>
            </w:tcMar>
          </w:tcPr>
          <w:p>
            <w:pPr>
              <w:keepNext w:val="0"/>
              <w:spacing w:after="0" w:line="252" w:lineRule="auto" w:before="0"/>
              <w:jc w:val="left"/>
            </w:pPr>
            <w:r>
              <w:rPr>
                <w:b/>
                <w:color w:val="263442"/>
                <w:sz w:val="20"/>
              </w:rPr>
              <w:t>04  Data Loss Prevention</w:t>
            </w:r>
            <w:r>
              <w:rPr>
                <w:b/>
                <w:color w:val="263442"/>
                <w:sz w:val="20"/>
              </w:rPr>
              <w:br/>
              <w:t>Sensitive data shared or transferred through unauthorised routes.</w:t>
            </w:r>
          </w:p>
        </w:tc>
        <w:tc>
          <w:tcPr>
            <w:tcW w:type="dxa" w:w="4320"/>
            <w:vAlign w:val="center"/>
            <w:tcBorders>
              <w:top w:val="single" w:sz="4" w:color="D9D9D9"/>
              <w:left w:val="single" w:sz="4" w:color="D9D9D9"/>
              <w:bottom w:val="single" w:sz="4" w:color="D9D9D9"/>
              <w:right w:val="single" w:sz="4" w:color="D9D9D9"/>
            </w:tcBorders>
            <w:shd w:fill="FFFFFF"/>
            <w:tcMar>
              <w:top w:w="90" w:type="dxa"/>
              <w:bottom w:w="90" w:type="dxa"/>
              <w:left w:w="105" w:type="dxa"/>
              <w:right w:w="105" w:type="dxa"/>
            </w:tcMar>
          </w:tcPr>
          <w:p>
            <w:pPr>
              <w:keepNext w:val="0"/>
              <w:spacing w:after="0" w:line="252" w:lineRule="auto" w:before="0"/>
              <w:jc w:val="left"/>
            </w:pPr>
            <w:r>
              <w:rPr>
                <w:b w:val="0"/>
                <w:color w:val="263442"/>
                <w:sz w:val="20"/>
              </w:rPr>
              <w:t>A3M Labs discovers and classifies data; configures endpoint, email, cloud, USB and sharing controls with reporting. Options include Microsoft Purview, Forcepoint and Trellix.</w:t>
            </w:r>
          </w:p>
        </w:tc>
        <w:tc>
          <w:tcPr>
            <w:tcW w:type="dxa" w:w="2664"/>
            <w:vAlign w:val="center"/>
            <w:tcBorders>
              <w:top w:val="single" w:sz="4" w:color="D9D9D9"/>
              <w:left w:val="single" w:sz="4" w:color="D9D9D9"/>
              <w:bottom w:val="single" w:sz="4" w:color="D9D9D9"/>
              <w:right w:val="single" w:sz="4" w:color="D9D9D9"/>
            </w:tcBorders>
            <w:shd w:fill="FFFFFF"/>
            <w:tcMar>
              <w:top w:w="90" w:type="dxa"/>
              <w:bottom w:w="90" w:type="dxa"/>
              <w:left w:w="105" w:type="dxa"/>
              <w:right w:w="105" w:type="dxa"/>
            </w:tcMar>
          </w:tcPr>
          <w:p>
            <w:pPr>
              <w:keepNext w:val="0"/>
              <w:spacing w:after="0" w:line="252" w:lineRule="auto" w:before="0"/>
              <w:jc w:val="left"/>
            </w:pPr>
            <w:r>
              <w:rPr>
                <w:b w:val="0"/>
                <w:color w:val="263442"/>
                <w:sz w:val="20"/>
              </w:rPr>
              <w:t>Control risky disclosure while supporting approved business sharing.</w:t>
            </w:r>
          </w:p>
        </w:tc>
      </w:tr>
      <w:tr>
        <w:trPr>
          <w:cantSplit/>
        </w:trPr>
        <w:tc>
          <w:tcPr>
            <w:tcW w:type="dxa" w:w="3096"/>
            <w:vAlign w:val="center"/>
            <w:tcBorders>
              <w:top w:val="single" w:sz="4" w:color="D9D9D9"/>
              <w:left w:val="single" w:sz="4" w:color="D9D9D9"/>
              <w:bottom w:val="single" w:sz="4" w:color="D9D9D9"/>
              <w:right w:val="single" w:sz="4" w:color="D9D9D9"/>
            </w:tcBorders>
            <w:shd w:fill="F0F5F8"/>
            <w:tcMar>
              <w:top w:w="90" w:type="dxa"/>
              <w:bottom w:w="90" w:type="dxa"/>
              <w:left w:w="105" w:type="dxa"/>
              <w:right w:w="105" w:type="dxa"/>
            </w:tcMar>
          </w:tcPr>
          <w:p>
            <w:pPr>
              <w:keepNext w:val="0"/>
              <w:spacing w:after="0" w:line="252" w:lineRule="auto" w:before="0"/>
              <w:jc w:val="left"/>
            </w:pPr>
            <w:r>
              <w:rPr>
                <w:b/>
                <w:color w:val="263442"/>
                <w:sz w:val="20"/>
              </w:rPr>
              <w:t>05  Security Information and Event Management (SIEM)</w:t>
            </w:r>
            <w:r>
              <w:rPr>
                <w:b/>
                <w:color w:val="263442"/>
                <w:sz w:val="20"/>
              </w:rPr>
              <w:br/>
              <w:t>Disconnected events and unresolved suspicious activity.</w:t>
            </w:r>
          </w:p>
        </w:tc>
        <w:tc>
          <w:tcPr>
            <w:tcW w:type="dxa" w:w="4320"/>
            <w:vAlign w:val="center"/>
            <w:tcBorders>
              <w:top w:val="single" w:sz="4" w:color="D9D9D9"/>
              <w:left w:val="single" w:sz="4" w:color="D9D9D9"/>
              <w:bottom w:val="single" w:sz="4" w:color="D9D9D9"/>
              <w:right w:val="single" w:sz="4" w:color="D9D9D9"/>
            </w:tcBorders>
            <w:shd w:fill="F0F5F8"/>
            <w:tcMar>
              <w:top w:w="90" w:type="dxa"/>
              <w:bottom w:w="90" w:type="dxa"/>
              <w:left w:w="105" w:type="dxa"/>
              <w:right w:w="105" w:type="dxa"/>
            </w:tcMar>
          </w:tcPr>
          <w:p>
            <w:pPr>
              <w:keepNext w:val="0"/>
              <w:spacing w:after="0" w:line="252" w:lineRule="auto" w:before="0"/>
              <w:jc w:val="left"/>
            </w:pPr>
            <w:r>
              <w:rPr>
                <w:b w:val="0"/>
                <w:color w:val="263442"/>
                <w:sz w:val="20"/>
              </w:rPr>
              <w:t>A3M Labs centralises and correlates logs; manages alerts, investigation, dashboards and escalation. Our portfolio includes managed SIEM and security operations centre services. Options include Microsoft Sentinel, Splunk and Wazuh.</w:t>
            </w:r>
          </w:p>
        </w:tc>
        <w:tc>
          <w:tcPr>
            <w:tcW w:type="dxa" w:w="2664"/>
            <w:vAlign w:val="center"/>
            <w:tcBorders>
              <w:top w:val="single" w:sz="4" w:color="D9D9D9"/>
              <w:left w:val="single" w:sz="4" w:color="D9D9D9"/>
              <w:bottom w:val="single" w:sz="4" w:color="D9D9D9"/>
              <w:right w:val="single" w:sz="4" w:color="D9D9D9"/>
            </w:tcBorders>
            <w:shd w:fill="F0F5F8"/>
            <w:tcMar>
              <w:top w:w="90" w:type="dxa"/>
              <w:bottom w:w="90" w:type="dxa"/>
              <w:left w:w="105" w:type="dxa"/>
              <w:right w:w="105" w:type="dxa"/>
            </w:tcMar>
          </w:tcPr>
          <w:p>
            <w:pPr>
              <w:keepNext w:val="0"/>
              <w:spacing w:after="0" w:line="252" w:lineRule="auto" w:before="0"/>
              <w:jc w:val="left"/>
            </w:pPr>
            <w:r>
              <w:rPr>
                <w:b w:val="0"/>
                <w:color w:val="263442"/>
                <w:sz w:val="20"/>
              </w:rPr>
              <w:t>Connect evidence and support coordinated incident assessment.</w:t>
            </w:r>
          </w:p>
        </w:tc>
      </w:tr>
      <w:tr>
        <w:trPr>
          <w:cantSplit/>
        </w:trPr>
        <w:tc>
          <w:tcPr>
            <w:tcW w:type="dxa" w:w="3096"/>
            <w:vAlign w:val="center"/>
            <w:tcBorders>
              <w:top w:val="single" w:sz="4" w:color="D9D9D9"/>
              <w:left w:val="single" w:sz="4" w:color="D9D9D9"/>
              <w:bottom w:val="single" w:sz="4" w:color="D9D9D9"/>
              <w:right w:val="single" w:sz="4" w:color="D9D9D9"/>
            </w:tcBorders>
            <w:shd w:fill="FFFFFF"/>
            <w:tcMar>
              <w:top w:w="90" w:type="dxa"/>
              <w:bottom w:w="90" w:type="dxa"/>
              <w:left w:w="105" w:type="dxa"/>
              <w:right w:w="105" w:type="dxa"/>
            </w:tcMar>
          </w:tcPr>
          <w:p>
            <w:pPr>
              <w:keepNext w:val="0"/>
              <w:spacing w:after="0" w:line="252" w:lineRule="auto" w:before="0"/>
              <w:jc w:val="left"/>
            </w:pPr>
            <w:r>
              <w:rPr>
                <w:b/>
                <w:color w:val="263442"/>
                <w:sz w:val="20"/>
              </w:rPr>
              <w:t>06  Role-Based Access Control</w:t>
            </w:r>
            <w:r>
              <w:rPr>
                <w:b/>
                <w:color w:val="263442"/>
                <w:sz w:val="20"/>
              </w:rPr>
              <w:br/>
              <w:t>Permissions exceed approved job responsibilities.</w:t>
            </w:r>
          </w:p>
        </w:tc>
        <w:tc>
          <w:tcPr>
            <w:tcW w:type="dxa" w:w="4320"/>
            <w:vAlign w:val="center"/>
            <w:tcBorders>
              <w:top w:val="single" w:sz="4" w:color="D9D9D9"/>
              <w:left w:val="single" w:sz="4" w:color="D9D9D9"/>
              <w:bottom w:val="single" w:sz="4" w:color="D9D9D9"/>
              <w:right w:val="single" w:sz="4" w:color="D9D9D9"/>
            </w:tcBorders>
            <w:shd w:fill="FFFFFF"/>
            <w:tcMar>
              <w:top w:w="90" w:type="dxa"/>
              <w:bottom w:w="90" w:type="dxa"/>
              <w:left w:w="105" w:type="dxa"/>
              <w:right w:w="105" w:type="dxa"/>
            </w:tcMar>
          </w:tcPr>
          <w:p>
            <w:pPr>
              <w:keepNext w:val="0"/>
              <w:spacing w:after="0" w:line="252" w:lineRule="auto" w:before="0"/>
              <w:jc w:val="left"/>
            </w:pPr>
            <w:r>
              <w:rPr>
                <w:b w:val="0"/>
                <w:color w:val="263442"/>
                <w:sz w:val="20"/>
              </w:rPr>
              <w:t>A3M Labs maps roles and permissions, applies least privilege, identifies conflicts and reviews role lifecycles across identity, cloud, application and database environments.</w:t>
            </w:r>
          </w:p>
        </w:tc>
        <w:tc>
          <w:tcPr>
            <w:tcW w:type="dxa" w:w="2664"/>
            <w:vAlign w:val="center"/>
            <w:tcBorders>
              <w:top w:val="single" w:sz="4" w:color="D9D9D9"/>
              <w:left w:val="single" w:sz="4" w:color="D9D9D9"/>
              <w:bottom w:val="single" w:sz="4" w:color="D9D9D9"/>
              <w:right w:val="single" w:sz="4" w:color="D9D9D9"/>
            </w:tcBorders>
            <w:shd w:fill="FFFFFF"/>
            <w:tcMar>
              <w:top w:w="90" w:type="dxa"/>
              <w:bottom w:w="90" w:type="dxa"/>
              <w:left w:w="105" w:type="dxa"/>
              <w:right w:w="105" w:type="dxa"/>
            </w:tcMar>
          </w:tcPr>
          <w:p>
            <w:pPr>
              <w:keepNext w:val="0"/>
              <w:spacing w:after="0" w:line="252" w:lineRule="auto" w:before="0"/>
              <w:jc w:val="left"/>
            </w:pPr>
            <w:r>
              <w:rPr>
                <w:b w:val="0"/>
                <w:color w:val="263442"/>
                <w:sz w:val="20"/>
              </w:rPr>
              <w:t>Restrict access to required resources and make permission reviews clearer.</w:t>
            </w:r>
          </w:p>
        </w:tc>
      </w:tr>
      <w:tr>
        <w:trPr>
          <w:cantSplit/>
        </w:trPr>
        <w:tc>
          <w:tcPr>
            <w:tcW w:type="dxa" w:w="3096"/>
            <w:vAlign w:val="center"/>
            <w:tcBorders>
              <w:top w:val="single" w:sz="4" w:color="D9D9D9"/>
              <w:left w:val="single" w:sz="4" w:color="D9D9D9"/>
              <w:bottom w:val="single" w:sz="4" w:color="D9D9D9"/>
              <w:right w:val="single" w:sz="4" w:color="D9D9D9"/>
            </w:tcBorders>
            <w:shd w:fill="F0F5F8"/>
            <w:tcMar>
              <w:top w:w="90" w:type="dxa"/>
              <w:bottom w:w="90" w:type="dxa"/>
              <w:left w:w="105" w:type="dxa"/>
              <w:right w:w="105" w:type="dxa"/>
            </w:tcMar>
          </w:tcPr>
          <w:p>
            <w:pPr>
              <w:keepNext w:val="0"/>
              <w:spacing w:after="0" w:line="252" w:lineRule="auto" w:before="0"/>
              <w:jc w:val="left"/>
            </w:pPr>
            <w:r>
              <w:rPr>
                <w:b/>
                <w:color w:val="263442"/>
                <w:sz w:val="20"/>
              </w:rPr>
              <w:t>07  Multi-Factor Authentication</w:t>
            </w:r>
            <w:r>
              <w:rPr>
                <w:b/>
                <w:color w:val="263442"/>
                <w:sz w:val="20"/>
              </w:rPr>
              <w:br/>
              <w:t>A compromised password enables account access.</w:t>
            </w:r>
          </w:p>
        </w:tc>
        <w:tc>
          <w:tcPr>
            <w:tcW w:type="dxa" w:w="4320"/>
            <w:vAlign w:val="center"/>
            <w:tcBorders>
              <w:top w:val="single" w:sz="4" w:color="D9D9D9"/>
              <w:left w:val="single" w:sz="4" w:color="D9D9D9"/>
              <w:bottom w:val="single" w:sz="4" w:color="D9D9D9"/>
              <w:right w:val="single" w:sz="4" w:color="D9D9D9"/>
            </w:tcBorders>
            <w:shd w:fill="F0F5F8"/>
            <w:tcMar>
              <w:top w:w="90" w:type="dxa"/>
              <w:bottom w:w="90" w:type="dxa"/>
              <w:left w:w="105" w:type="dxa"/>
              <w:right w:w="105" w:type="dxa"/>
            </w:tcMar>
          </w:tcPr>
          <w:p>
            <w:pPr>
              <w:keepNext w:val="0"/>
              <w:spacing w:after="0" w:line="252" w:lineRule="auto" w:before="0"/>
              <w:jc w:val="left"/>
            </w:pPr>
            <w:r>
              <w:rPr>
                <w:b w:val="0"/>
                <w:color w:val="263442"/>
                <w:sz w:val="20"/>
              </w:rPr>
              <w:t>A3M Labs implements additional sign-in verification, conditional access, passwordless methods and security-key integration. Options include Microsoft Entra MFA, Cisco Duo and Okta.</w:t>
            </w:r>
          </w:p>
        </w:tc>
        <w:tc>
          <w:tcPr>
            <w:tcW w:type="dxa" w:w="2664"/>
            <w:vAlign w:val="center"/>
            <w:tcBorders>
              <w:top w:val="single" w:sz="4" w:color="D9D9D9"/>
              <w:left w:val="single" w:sz="4" w:color="D9D9D9"/>
              <w:bottom w:val="single" w:sz="4" w:color="D9D9D9"/>
              <w:right w:val="single" w:sz="4" w:color="D9D9D9"/>
            </w:tcBorders>
            <w:shd w:fill="F0F5F8"/>
            <w:tcMar>
              <w:top w:w="90" w:type="dxa"/>
              <w:bottom w:w="90" w:type="dxa"/>
              <w:left w:w="105" w:type="dxa"/>
              <w:right w:w="105" w:type="dxa"/>
            </w:tcMar>
          </w:tcPr>
          <w:p>
            <w:pPr>
              <w:keepNext w:val="0"/>
              <w:spacing w:after="0" w:line="252" w:lineRule="auto" w:before="0"/>
              <w:jc w:val="left"/>
            </w:pPr>
            <w:r>
              <w:rPr>
                <w:b w:val="0"/>
                <w:color w:val="263442"/>
                <w:sz w:val="20"/>
              </w:rPr>
              <w:t>Strengthen verification of workforce and administrator access.</w:t>
            </w:r>
          </w:p>
        </w:tc>
      </w:tr>
      <w:tr>
        <w:trPr>
          <w:cantSplit/>
        </w:trPr>
        <w:tc>
          <w:tcPr>
            <w:tcW w:type="dxa" w:w="3096"/>
            <w:vAlign w:val="center"/>
            <w:tcBorders>
              <w:top w:val="single" w:sz="4" w:color="D9D9D9"/>
              <w:left w:val="single" w:sz="4" w:color="D9D9D9"/>
              <w:bottom w:val="single" w:sz="4" w:color="D9D9D9"/>
              <w:right w:val="single" w:sz="4" w:color="D9D9D9"/>
            </w:tcBorders>
            <w:shd w:fill="FFFFFF"/>
            <w:tcMar>
              <w:top w:w="90" w:type="dxa"/>
              <w:bottom w:w="90" w:type="dxa"/>
              <w:left w:w="105" w:type="dxa"/>
              <w:right w:w="105" w:type="dxa"/>
            </w:tcMar>
          </w:tcPr>
          <w:p>
            <w:pPr>
              <w:keepNext w:val="0"/>
              <w:spacing w:after="0" w:line="252" w:lineRule="auto" w:before="0"/>
              <w:jc w:val="left"/>
            </w:pPr>
            <w:r>
              <w:rPr>
                <w:b/>
                <w:color w:val="263442"/>
                <w:sz w:val="20"/>
              </w:rPr>
              <w:t>08  Single Sign-On</w:t>
            </w:r>
            <w:r>
              <w:rPr>
                <w:b/>
                <w:color w:val="263442"/>
                <w:sz w:val="20"/>
              </w:rPr>
              <w:br/>
              <w:t>Scattered passwords and inconsistent application access controls.</w:t>
            </w:r>
          </w:p>
        </w:tc>
        <w:tc>
          <w:tcPr>
            <w:tcW w:type="dxa" w:w="4320"/>
            <w:vAlign w:val="center"/>
            <w:tcBorders>
              <w:top w:val="single" w:sz="4" w:color="D9D9D9"/>
              <w:left w:val="single" w:sz="4" w:color="D9D9D9"/>
              <w:bottom w:val="single" w:sz="4" w:color="D9D9D9"/>
              <w:right w:val="single" w:sz="4" w:color="D9D9D9"/>
            </w:tcBorders>
            <w:shd w:fill="FFFFFF"/>
            <w:tcMar>
              <w:top w:w="90" w:type="dxa"/>
              <w:bottom w:w="90" w:type="dxa"/>
              <w:left w:w="105" w:type="dxa"/>
              <w:right w:w="105" w:type="dxa"/>
            </w:tcMar>
          </w:tcPr>
          <w:p>
            <w:pPr>
              <w:keepNext w:val="0"/>
              <w:spacing w:after="0" w:line="252" w:lineRule="auto" w:before="0"/>
              <w:jc w:val="left"/>
            </w:pPr>
            <w:r>
              <w:rPr>
                <w:b w:val="0"/>
                <w:color w:val="263442"/>
                <w:sz w:val="20"/>
              </w:rPr>
              <w:t>A3M Labs connects approved applications to a central identity provider, integrates MFA and lifecycle controls, and monitors access. Options include Entra ID, Okta and Keycloak.</w:t>
            </w:r>
          </w:p>
        </w:tc>
        <w:tc>
          <w:tcPr>
            <w:tcW w:type="dxa" w:w="2664"/>
            <w:vAlign w:val="center"/>
            <w:tcBorders>
              <w:top w:val="single" w:sz="4" w:color="D9D9D9"/>
              <w:left w:val="single" w:sz="4" w:color="D9D9D9"/>
              <w:bottom w:val="single" w:sz="4" w:color="D9D9D9"/>
              <w:right w:val="single" w:sz="4" w:color="D9D9D9"/>
            </w:tcBorders>
            <w:shd w:fill="FFFFFF"/>
            <w:tcMar>
              <w:top w:w="90" w:type="dxa"/>
              <w:bottom w:w="90" w:type="dxa"/>
              <w:left w:w="105" w:type="dxa"/>
              <w:right w:w="105" w:type="dxa"/>
            </w:tcMar>
          </w:tcPr>
          <w:p>
            <w:pPr>
              <w:keepNext w:val="0"/>
              <w:spacing w:after="0" w:line="252" w:lineRule="auto" w:before="0"/>
              <w:jc w:val="left"/>
            </w:pPr>
            <w:r>
              <w:rPr>
                <w:b w:val="0"/>
                <w:color w:val="263442"/>
                <w:sz w:val="20"/>
              </w:rPr>
              <w:t>Simplify approved access and centralise identity policy.</w:t>
            </w:r>
          </w:p>
        </w:tc>
      </w:tr>
      <w:tr>
        <w:trPr>
          <w:cantSplit/>
        </w:trPr>
        <w:tc>
          <w:tcPr>
            <w:tcW w:type="dxa" w:w="3096"/>
            <w:vAlign w:val="center"/>
            <w:tcBorders>
              <w:top w:val="single" w:sz="4" w:color="D9D9D9"/>
              <w:left w:val="single" w:sz="4" w:color="D9D9D9"/>
              <w:bottom w:val="single" w:sz="4" w:color="D9D9D9"/>
              <w:right w:val="single" w:sz="4" w:color="D9D9D9"/>
            </w:tcBorders>
            <w:shd w:fill="F0F5F8"/>
            <w:tcMar>
              <w:top w:w="90" w:type="dxa"/>
              <w:bottom w:w="90" w:type="dxa"/>
              <w:left w:w="105" w:type="dxa"/>
              <w:right w:w="105" w:type="dxa"/>
            </w:tcMar>
          </w:tcPr>
          <w:p>
            <w:pPr>
              <w:keepNext w:val="0"/>
              <w:spacing w:after="0" w:line="252" w:lineRule="auto" w:before="0"/>
              <w:jc w:val="left"/>
            </w:pPr>
            <w:r>
              <w:rPr>
                <w:b/>
                <w:color w:val="263442"/>
                <w:sz w:val="20"/>
              </w:rPr>
              <w:t>09  Vulnerability Assessment and Penetration Testing</w:t>
            </w:r>
            <w:r>
              <w:rPr>
                <w:b/>
                <w:color w:val="263442"/>
                <w:sz w:val="20"/>
              </w:rPr>
              <w:br/>
              <w:t>Unknown weaknesses or fixes without verification.</w:t>
            </w:r>
          </w:p>
        </w:tc>
        <w:tc>
          <w:tcPr>
            <w:tcW w:type="dxa" w:w="4320"/>
            <w:vAlign w:val="center"/>
            <w:tcBorders>
              <w:top w:val="single" w:sz="4" w:color="D9D9D9"/>
              <w:left w:val="single" w:sz="4" w:color="D9D9D9"/>
              <w:bottom w:val="single" w:sz="4" w:color="D9D9D9"/>
              <w:right w:val="single" w:sz="4" w:color="D9D9D9"/>
            </w:tcBorders>
            <w:shd w:fill="F0F5F8"/>
            <w:tcMar>
              <w:top w:w="90" w:type="dxa"/>
              <w:bottom w:w="90" w:type="dxa"/>
              <w:left w:w="105" w:type="dxa"/>
              <w:right w:w="105" w:type="dxa"/>
            </w:tcMar>
          </w:tcPr>
          <w:p>
            <w:pPr>
              <w:keepNext w:val="0"/>
              <w:spacing w:after="0" w:line="252" w:lineRule="auto" w:before="0"/>
              <w:jc w:val="left"/>
            </w:pPr>
            <w:r>
              <w:rPr>
                <w:b w:val="0"/>
                <w:color w:val="263442"/>
                <w:sz w:val="20"/>
              </w:rPr>
              <w:t>A3M Labs assesses web apps, APIs, networks, cloud and mobile systems; classifies findings, recommends remediation and retests. Tools include Burp Suite, OWASP ZAP, Nessus and Nmap.</w:t>
            </w:r>
          </w:p>
        </w:tc>
        <w:tc>
          <w:tcPr>
            <w:tcW w:type="dxa" w:w="2664"/>
            <w:vAlign w:val="center"/>
            <w:tcBorders>
              <w:top w:val="single" w:sz="4" w:color="D9D9D9"/>
              <w:left w:val="single" w:sz="4" w:color="D9D9D9"/>
              <w:bottom w:val="single" w:sz="4" w:color="D9D9D9"/>
              <w:right w:val="single" w:sz="4" w:color="D9D9D9"/>
            </w:tcBorders>
            <w:shd w:fill="F0F5F8"/>
            <w:tcMar>
              <w:top w:w="90" w:type="dxa"/>
              <w:bottom w:w="90" w:type="dxa"/>
              <w:left w:w="105" w:type="dxa"/>
              <w:right w:w="105" w:type="dxa"/>
            </w:tcMar>
          </w:tcPr>
          <w:p>
            <w:pPr>
              <w:keepNext w:val="0"/>
              <w:spacing w:after="0" w:line="252" w:lineRule="auto" w:before="0"/>
              <w:jc w:val="left"/>
            </w:pPr>
            <w:r>
              <w:rPr>
                <w:b w:val="0"/>
                <w:color w:val="263442"/>
                <w:sz w:val="20"/>
              </w:rPr>
              <w:t>Prioritise correction using technical evidence and business impact.</w:t>
            </w:r>
          </w:p>
        </w:tc>
      </w:tr>
      <w:tr>
        <w:trPr>
          <w:cantSplit/>
        </w:trPr>
        <w:tc>
          <w:tcPr>
            <w:tcW w:type="dxa" w:w="3096"/>
            <w:vAlign w:val="center"/>
            <w:tcBorders>
              <w:top w:val="single" w:sz="4" w:color="D9D9D9"/>
              <w:left w:val="single" w:sz="4" w:color="D9D9D9"/>
              <w:bottom w:val="single" w:sz="4" w:color="D9D9D9"/>
              <w:right w:val="single" w:sz="4" w:color="D9D9D9"/>
            </w:tcBorders>
            <w:shd w:fill="FFFFFF"/>
            <w:tcMar>
              <w:top w:w="90" w:type="dxa"/>
              <w:bottom w:w="90" w:type="dxa"/>
              <w:left w:w="105" w:type="dxa"/>
              <w:right w:w="105" w:type="dxa"/>
            </w:tcMar>
          </w:tcPr>
          <w:p>
            <w:pPr>
              <w:keepNext w:val="0"/>
              <w:spacing w:after="0" w:line="252" w:lineRule="auto" w:before="0"/>
              <w:jc w:val="left"/>
            </w:pPr>
            <w:r>
              <w:rPr>
                <w:b/>
                <w:color w:val="263442"/>
                <w:sz w:val="20"/>
              </w:rPr>
              <w:t>10  Cloud Backup and Data Recovery</w:t>
            </w:r>
            <w:r>
              <w:rPr>
                <w:b/>
                <w:color w:val="263442"/>
                <w:sz w:val="20"/>
              </w:rPr>
              <w:br/>
              <w:t>Deletion, corruption or cyber incidents disrupt critical information.</w:t>
            </w:r>
          </w:p>
        </w:tc>
        <w:tc>
          <w:tcPr>
            <w:tcW w:type="dxa" w:w="4320"/>
            <w:vAlign w:val="center"/>
            <w:tcBorders>
              <w:top w:val="single" w:sz="4" w:color="D9D9D9"/>
              <w:left w:val="single" w:sz="4" w:color="D9D9D9"/>
              <w:bottom w:val="single" w:sz="4" w:color="D9D9D9"/>
              <w:right w:val="single" w:sz="4" w:color="D9D9D9"/>
            </w:tcBorders>
            <w:shd w:fill="FFFFFF"/>
            <w:tcMar>
              <w:top w:w="90" w:type="dxa"/>
              <w:bottom w:w="90" w:type="dxa"/>
              <w:left w:w="105" w:type="dxa"/>
              <w:right w:w="105" w:type="dxa"/>
            </w:tcMar>
          </w:tcPr>
          <w:p>
            <w:pPr>
              <w:keepNext w:val="0"/>
              <w:spacing w:after="0" w:line="252" w:lineRule="auto" w:before="0"/>
              <w:jc w:val="left"/>
            </w:pPr>
            <w:r>
              <w:rPr>
                <w:b w:val="0"/>
                <w:color w:val="263442"/>
                <w:sz w:val="20"/>
              </w:rPr>
              <w:t>A3M Labs configures scheduling, monitoring, encryption, immutable or off-site copies, retention, restore tests and recovery planning. Options include Veeam, Acronis, AWS Backup and Azure Backup.</w:t>
            </w:r>
          </w:p>
        </w:tc>
        <w:tc>
          <w:tcPr>
            <w:tcW w:type="dxa" w:w="2664"/>
            <w:vAlign w:val="center"/>
            <w:tcBorders>
              <w:top w:val="single" w:sz="4" w:color="D9D9D9"/>
              <w:left w:val="single" w:sz="4" w:color="D9D9D9"/>
              <w:bottom w:val="single" w:sz="4" w:color="D9D9D9"/>
              <w:right w:val="single" w:sz="4" w:color="D9D9D9"/>
            </w:tcBorders>
            <w:shd w:fill="FFFFFF"/>
            <w:tcMar>
              <w:top w:w="90" w:type="dxa"/>
              <w:bottom w:w="90" w:type="dxa"/>
              <w:left w:w="105" w:type="dxa"/>
              <w:right w:w="105" w:type="dxa"/>
            </w:tcMar>
          </w:tcPr>
          <w:p>
            <w:pPr>
              <w:keepNext w:val="0"/>
              <w:spacing w:after="0" w:line="252" w:lineRule="auto" w:before="0"/>
              <w:jc w:val="left"/>
            </w:pPr>
            <w:r>
              <w:rPr>
                <w:b w:val="0"/>
                <w:color w:val="263442"/>
                <w:sz w:val="20"/>
              </w:rPr>
              <w:t>Demonstrate recovery readiness for essential business workflows.</w:t>
            </w:r>
          </w:p>
        </w:tc>
      </w:tr>
    </w:tbl>
    <w:p>
      <w:pPr>
        <w:pStyle w:val="Heading2"/>
        <w:keepNext/>
        <w:widowControl/>
        <w:ind w:left="0" w:right="0"/>
        <w:jc w:val="left"/>
      </w:pPr>
      <w:r>
        <w:rPr>
          <w:b/>
          <w:color w:val="16324A"/>
        </w:rPr>
        <w:t>Use each control for the problem it addresses</w:t>
      </w:r>
    </w:p>
    <w:p>
      <w:pPr>
        <w:widowControl/>
        <w:spacing w:after="160" w:line="259" w:lineRule="auto"/>
        <w:ind w:left="0" w:right="0"/>
        <w:jc w:val="both"/>
      </w:pPr>
      <w:r>
        <w:t>Transport Layer Security (TLS) is the modern protocol for encrypted communications; Secure Sockets Layer (SSL) is its predecessor. A3M Labs reviews encryption configurations alongside application access controls. A Web Application Firewall (WAF) complements secure code and correct authorisation. Data Loss Prevention (DLP) uses defined data classes, tested exceptions and approved sharing routes.</w:t>
      </w:r>
    </w:p>
    <w:p>
      <w:pPr>
        <w:pStyle w:val="Caption"/>
        <w:widowControl/>
        <w:ind w:left="0" w:right="0"/>
        <w:jc w:val="left"/>
      </w:pPr>
      <w:r>
        <w:t>A3M Labs selects suitable technologies based on client requirements, licensing, system compatibility and the agreed integration scope.</w:t>
      </w:r>
    </w:p>
    <w:p>
      <w:pPr>
        <w:pStyle w:val="Heading2"/>
        <w:keepNext/>
        <w:widowControl/>
        <w:ind w:left="0" w:right="0"/>
        <w:jc w:val="left"/>
      </w:pPr>
      <w:r>
        <w:rPr>
          <w:b/>
          <w:color w:val="16324A"/>
        </w:rPr>
        <w:t>Verify the complete control path</w:t>
      </w:r>
    </w:p>
    <w:p>
      <w:pPr>
        <w:widowControl/>
        <w:spacing w:after="160" w:line="259" w:lineRule="auto"/>
        <w:ind w:left="0" w:right="0"/>
        <w:jc w:val="both"/>
      </w:pPr>
      <w:r>
        <w:t>Multi-Factor Authentication (MFA) strengthens sign-in; Role-Based Access Control (RBAC) limits permitted actions. Single Sign-On (SSO) centralises access to connected applications, but departure tests must also address active sessions, tokens, local accounts and third-party access. Vulnerability Assessment and Penetration Testing (VAPT) requires authorised scope and retesting. Backup success must be demonstrated through restoration, not job status alone.</w:t>
      </w:r>
    </w:p>
    <w:p>
      <w:pPr>
        <w:pStyle w:val="Caption"/>
        <w:widowControl/>
        <w:ind w:left="0" w:right="0"/>
        <w:jc w:val="left"/>
      </w:pPr>
      <w:r>
        <w:t>Where available and authorised, endpoint telemetry adds device context to security events and helps reviewers investigate suspicious activity.</w:t>
      </w:r>
    </w:p>
    <w:p>
      <w:pPr>
        <w:pStyle w:val="Heading2"/>
        <w:keepNext/>
        <w:pageBreakBefore/>
        <w:widowControl/>
        <w:spacing w:before="0" w:after="180"/>
        <w:ind w:left="0" w:right="0"/>
        <w:jc w:val="left"/>
        <w:shd w:fill="EDF5F6"/>
      </w:pPr>
      <w:r>
        <w:rPr>
          <w:b/>
          <w:color w:val="087F8C"/>
          <w:sz w:val="32"/>
        </w:rPr>
        <w:t>03  /  Proposed integration</w:t>
      </w:r>
    </w:p>
    <w:p>
      <w:pPr>
        <w:pStyle w:val="Heading1"/>
        <w:keepNext/>
        <w:widowControl/>
        <w:ind w:left="0" w:right="0"/>
        <w:jc w:val="left"/>
      </w:pPr>
      <w:r>
        <w:rPr>
          <w:b/>
          <w:color w:val="16324A"/>
        </w:rPr>
        <w:t>Connect controls around enterprise risks</w:t>
      </w:r>
    </w:p>
    <w:p>
      <w:pPr>
        <w:widowControl/>
        <w:spacing w:after="160" w:line="259" w:lineRule="auto"/>
        <w:ind w:left="0" w:right="0"/>
        <w:jc w:val="both"/>
      </w:pPr>
      <w:r>
        <w:t>A3M Labs connects prevention, evidence, response and restoration through an engagement-specific architecture. The proposed model below shows how the services can work together. We agree source compatibility, collection permissions and operating responsibilities with the client, configure central correlation, protect monitoring records and tune detection to relevant threats.</w:t>
      </w:r>
    </w:p>
    <w:p>
      <w:pPr>
        <w:widowControl/>
        <w:spacing w:after="160" w:line="259" w:lineRule="auto"/>
        <w:ind w:left="0" w:right="0"/>
        <w:jc w:val="center"/>
      </w:pPr>
      <w:r>
        <w:drawing>
          <wp:inline xmlns:a="http://schemas.openxmlformats.org/drawingml/2006/main" xmlns:pic="http://schemas.openxmlformats.org/drawingml/2006/picture">
            <wp:extent cx="6492240" cy="2337206"/>
            <wp:docPr id="1" name="Picture 1"/>
            <wp:cNvGraphicFramePr>
              <a:graphicFrameLocks noChangeAspect="1"/>
            </wp:cNvGraphicFramePr>
            <a:graphic>
              <a:graphicData uri="http://schemas.openxmlformats.org/drawingml/2006/picture">
                <pic:pic>
                  <pic:nvPicPr>
                    <pic:cNvPr id="0" name="architecture.png"/>
                    <pic:cNvPicPr/>
                  </pic:nvPicPr>
                  <pic:blipFill>
                    <a:blip r:embed="rId11"/>
                    <a:stretch>
                      <a:fillRect/>
                    </a:stretch>
                  </pic:blipFill>
                  <pic:spPr>
                    <a:xfrm>
                      <a:off x="0" y="0"/>
                      <a:ext cx="6492240" cy="2337206"/>
                    </a:xfrm>
                    <a:prstGeom prst="rect"/>
                  </pic:spPr>
                </pic:pic>
              </a:graphicData>
            </a:graphic>
          </wp:inline>
        </w:drawing>
      </w:r>
    </w:p>
    <w:p>
      <w:pPr>
        <w:pStyle w:val="Caption"/>
        <w:widowControl/>
        <w:ind w:left="0" w:right="0"/>
        <w:jc w:val="left"/>
      </w:pPr>
      <w:r>
        <w:t>Figure 1. Proposed engagement architecture. Arrows show selected evidence entering SIEM and review. Assurance and continuity support the wider security programme; integration scope is agreed for each engagement.</w:t>
      </w:r>
    </w:p>
    <w:p>
      <w:pPr>
        <w:pStyle w:val="Heading2"/>
        <w:keepNext/>
        <w:widowControl/>
        <w:ind w:left="0" w:right="0"/>
        <w:jc w:val="left"/>
      </w:pPr>
      <w:r>
        <w:rPr>
          <w:b/>
          <w:color w:val="16324A"/>
        </w:rPr>
        <w:t>Zero Trust as an architectural principle</w:t>
      </w:r>
    </w:p>
    <w:p>
      <w:pPr>
        <w:widowControl/>
        <w:spacing w:after="160" w:line="259" w:lineRule="auto"/>
        <w:ind w:left="0" w:right="0"/>
        <w:jc w:val="both"/>
      </w:pPr>
      <w:r>
        <w:t>Zero Trust is an architectural approach built on explicit verification, least privilege and an assume-breach mindset. Access decisions consider users, devices and the sensitivity of enterprise resources. These principles guide A3M Labs’ configuration of identity, access and monitoring controls.</w:t>
      </w:r>
    </w:p>
    <w:p>
      <w:pPr>
        <w:widowControl/>
        <w:spacing w:after="160" w:line="259" w:lineRule="auto"/>
        <w:ind w:left="0" w:right="0"/>
        <w:jc w:val="both"/>
      </w:pPr>
      <w:r>
        <w:rPr>
          <w:b/>
        </w:rPr>
        <w:t xml:space="preserve">Verify explicitly. </w:t>
      </w:r>
      <w:r>
        <w:t>Use identity, device condition, resource sensitivity and policy context when deciding access. A3M Labs implements MFA and conditional access; device checks are configured where the client’s tooling and agreed integrations support them.</w:t>
      </w:r>
    </w:p>
    <w:p>
      <w:pPr>
        <w:widowControl/>
        <w:spacing w:after="160" w:line="259" w:lineRule="auto"/>
        <w:ind w:left="0" w:right="0"/>
        <w:jc w:val="both"/>
      </w:pPr>
      <w:r>
        <w:rPr>
          <w:b/>
        </w:rPr>
        <w:t xml:space="preserve">Apply least privilege. </w:t>
      </w:r>
      <w:r>
        <w:t>Use access lifecycle management and RBAC to grant only the permissions needed for approved work. Review supplier access and exceptions as responsibilities change.</w:t>
      </w:r>
    </w:p>
    <w:p>
      <w:pPr>
        <w:widowControl/>
        <w:spacing w:after="160" w:line="259" w:lineRule="auto"/>
        <w:ind w:left="0" w:right="0"/>
        <w:jc w:val="both"/>
      </w:pPr>
      <w:r>
        <w:rPr>
          <w:b/>
        </w:rPr>
        <w:t xml:space="preserve">Assume breach. </w:t>
      </w:r>
      <w:r>
        <w:t>Plan for the possibility that an account or device is compromised. A3M Labs configures relevant event correlation, restricts unnecessary access and supports authorised containment and recovery, with controls tested in the client environment.</w:t>
      </w:r>
    </w:p>
    <w:p>
      <w:pPr>
        <w:pStyle w:val="Heading2"/>
        <w:keepNext/>
        <w:pageBreakBefore/>
        <w:widowControl/>
        <w:spacing w:before="0" w:after="180"/>
        <w:ind w:left="0" w:right="0"/>
        <w:jc w:val="left"/>
        <w:shd w:fill="EDF5F6"/>
      </w:pPr>
      <w:r>
        <w:rPr>
          <w:b/>
          <w:color w:val="087F8C"/>
          <w:sz w:val="32"/>
        </w:rPr>
        <w:t>04  /  Practical enterprise benefits</w:t>
      </w:r>
    </w:p>
    <w:p>
      <w:pPr>
        <w:pStyle w:val="Heading1"/>
        <w:keepNext/>
        <w:widowControl/>
        <w:ind w:left="0" w:right="0"/>
        <w:jc w:val="left"/>
      </w:pPr>
      <w:r>
        <w:rPr>
          <w:b/>
          <w:color w:val="16324A"/>
        </w:rPr>
        <w:t>Turn monitoring into operational value</w:t>
      </w:r>
    </w:p>
    <w:p>
      <w:pPr>
        <w:widowControl/>
        <w:spacing w:after="160" w:line="259" w:lineRule="auto"/>
        <w:ind w:left="0" w:right="0"/>
        <w:jc w:val="both"/>
      </w:pPr>
      <w:r>
        <w:t>A3M Labs’ services help enterprises build a more dependable path from a security signal to a business decision. Connected controls clarify permitted access, improve investigation context and identify priorities for remediation and recovery. Coverage, tuning and operational capacity determine how effectively the controls deliver these benefits.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12"/>
        <w:gridCol w:w="6768"/>
      </w:tblGrid>
      <w:tr>
        <w:trPr>
          <w:cantSplit/>
          <w:tblHeader/>
        </w:trPr>
        <w:tc>
          <w:tcPr>
            <w:tcW w:type="dxa" w:w="3312"/>
            <w:vAlign w:val="center"/>
            <w:tcBorders>
              <w:top w:val="single" w:sz="4" w:color="D9D9D9"/>
              <w:left w:val="single" w:sz="4" w:color="D9D9D9"/>
              <w:bottom w:val="single" w:sz="4" w:color="D9D9D9"/>
              <w:right w:val="single" w:sz="4" w:color="D9D9D9"/>
            </w:tcBorders>
            <w:shd w:fill="16324A"/>
            <w:tcMar>
              <w:top w:w="90" w:type="dxa"/>
              <w:bottom w:w="90" w:type="dxa"/>
              <w:left w:w="105" w:type="dxa"/>
              <w:right w:w="105" w:type="dxa"/>
            </w:tcMar>
          </w:tcPr>
          <w:p>
            <w:pPr>
              <w:keepNext w:val="0"/>
              <w:spacing w:after="0" w:line="252" w:lineRule="auto" w:before="0"/>
              <w:jc w:val="left"/>
            </w:pPr>
            <w:r>
              <w:rPr>
                <w:b/>
                <w:color w:val="FFFFFF"/>
                <w:sz w:val="20"/>
              </w:rPr>
              <w:t>Business outcome</w:t>
            </w:r>
          </w:p>
        </w:tc>
        <w:tc>
          <w:tcPr>
            <w:tcW w:type="dxa" w:w="6768"/>
            <w:vAlign w:val="center"/>
            <w:tcBorders>
              <w:top w:val="single" w:sz="4" w:color="D9D9D9"/>
              <w:left w:val="single" w:sz="4" w:color="D9D9D9"/>
              <w:bottom w:val="single" w:sz="4" w:color="D9D9D9"/>
              <w:right w:val="single" w:sz="4" w:color="D9D9D9"/>
            </w:tcBorders>
            <w:shd w:fill="16324A"/>
            <w:tcMar>
              <w:top w:w="90" w:type="dxa"/>
              <w:bottom w:w="90" w:type="dxa"/>
              <w:left w:w="105" w:type="dxa"/>
              <w:right w:w="105" w:type="dxa"/>
            </w:tcMar>
          </w:tcPr>
          <w:p>
            <w:pPr>
              <w:keepNext w:val="0"/>
              <w:spacing w:after="0" w:line="252" w:lineRule="auto" w:before="0"/>
              <w:jc w:val="left"/>
            </w:pPr>
            <w:r>
              <w:rPr>
                <w:b/>
                <w:color w:val="FFFFFF"/>
                <w:sz w:val="20"/>
              </w:rPr>
              <w:t>Evidence to evaluate</w:t>
            </w:r>
          </w:p>
        </w:tc>
      </w:tr>
      <w:tr>
        <w:trPr>
          <w:cantSplit/>
        </w:trPr>
        <w:tc>
          <w:tcPr>
            <w:tcW w:type="dxa" w:w="3312"/>
            <w:vAlign w:val="center"/>
            <w:tcBorders>
              <w:top w:val="single" w:sz="4" w:color="D9D9D9"/>
              <w:left w:val="single" w:sz="4" w:color="D9D9D9"/>
              <w:bottom w:val="single" w:sz="4" w:color="D9D9D9"/>
              <w:right w:val="single" w:sz="4" w:color="D9D9D9"/>
            </w:tcBorders>
            <w:shd w:fill="F0F5F8"/>
            <w:tcMar>
              <w:top w:w="90" w:type="dxa"/>
              <w:bottom w:w="90" w:type="dxa"/>
              <w:left w:w="105" w:type="dxa"/>
              <w:right w:w="105" w:type="dxa"/>
            </w:tcMar>
          </w:tcPr>
          <w:p>
            <w:pPr>
              <w:keepNext w:val="0"/>
              <w:spacing w:after="0" w:line="252" w:lineRule="auto" w:before="0"/>
              <w:jc w:val="left"/>
            </w:pPr>
            <w:r>
              <w:rPr>
                <w:b/>
                <w:color w:val="263442"/>
                <w:sz w:val="20"/>
              </w:rPr>
              <w:t>Accountable access</w:t>
            </w:r>
          </w:p>
        </w:tc>
        <w:tc>
          <w:tcPr>
            <w:tcW w:type="dxa" w:w="6768"/>
            <w:vAlign w:val="center"/>
            <w:tcBorders>
              <w:top w:val="single" w:sz="4" w:color="D9D9D9"/>
              <w:left w:val="single" w:sz="4" w:color="D9D9D9"/>
              <w:bottom w:val="single" w:sz="4" w:color="D9D9D9"/>
              <w:right w:val="single" w:sz="4" w:color="D9D9D9"/>
            </w:tcBorders>
            <w:shd w:fill="F0F5F8"/>
            <w:tcMar>
              <w:top w:w="90" w:type="dxa"/>
              <w:bottom w:w="90" w:type="dxa"/>
              <w:left w:w="105" w:type="dxa"/>
              <w:right w:w="105" w:type="dxa"/>
            </w:tcMar>
          </w:tcPr>
          <w:p>
            <w:pPr>
              <w:keepNext w:val="0"/>
              <w:spacing w:after="0" w:line="252" w:lineRule="auto" w:before="0"/>
              <w:jc w:val="left"/>
            </w:pPr>
            <w:r>
              <w:rPr>
                <w:b w:val="0"/>
                <w:color w:val="263442"/>
                <w:sz w:val="20"/>
              </w:rPr>
              <w:t>Eligible-account MFA coverage; completed access reviews; time to remove all relevant access paths.</w:t>
            </w:r>
          </w:p>
        </w:tc>
      </w:tr>
      <w:tr>
        <w:trPr>
          <w:cantSplit/>
        </w:trPr>
        <w:tc>
          <w:tcPr>
            <w:tcW w:type="dxa" w:w="3312"/>
            <w:vAlign w:val="center"/>
            <w:tcBorders>
              <w:top w:val="single" w:sz="4" w:color="D9D9D9"/>
              <w:left w:val="single" w:sz="4" w:color="D9D9D9"/>
              <w:bottom w:val="single" w:sz="4" w:color="D9D9D9"/>
              <w:right w:val="single" w:sz="4" w:color="D9D9D9"/>
            </w:tcBorders>
            <w:shd w:fill="FFFFFF"/>
            <w:tcMar>
              <w:top w:w="90" w:type="dxa"/>
              <w:bottom w:w="90" w:type="dxa"/>
              <w:left w:w="105" w:type="dxa"/>
              <w:right w:w="105" w:type="dxa"/>
            </w:tcMar>
          </w:tcPr>
          <w:p>
            <w:pPr>
              <w:keepNext w:val="0"/>
              <w:spacing w:after="0" w:line="252" w:lineRule="auto" w:before="0"/>
              <w:jc w:val="left"/>
            </w:pPr>
            <w:r>
              <w:rPr>
                <w:b/>
                <w:color w:val="263442"/>
                <w:sz w:val="20"/>
              </w:rPr>
              <w:t>Controlled information sharing</w:t>
            </w:r>
          </w:p>
        </w:tc>
        <w:tc>
          <w:tcPr>
            <w:tcW w:type="dxa" w:w="6768"/>
            <w:vAlign w:val="center"/>
            <w:tcBorders>
              <w:top w:val="single" w:sz="4" w:color="D9D9D9"/>
              <w:left w:val="single" w:sz="4" w:color="D9D9D9"/>
              <w:bottom w:val="single" w:sz="4" w:color="D9D9D9"/>
              <w:right w:val="single" w:sz="4" w:color="D9D9D9"/>
            </w:tcBorders>
            <w:shd w:fill="FFFFFF"/>
            <w:tcMar>
              <w:top w:w="90" w:type="dxa"/>
              <w:bottom w:w="90" w:type="dxa"/>
              <w:left w:w="105" w:type="dxa"/>
              <w:right w:w="105" w:type="dxa"/>
            </w:tcMar>
          </w:tcPr>
          <w:p>
            <w:pPr>
              <w:keepNext w:val="0"/>
              <w:spacing w:after="0" w:line="252" w:lineRule="auto" w:before="0"/>
              <w:jc w:val="left"/>
            </w:pPr>
            <w:r>
              <w:rPr>
                <w:b w:val="0"/>
                <w:color w:val="263442"/>
                <w:sz w:val="20"/>
              </w:rPr>
              <w:t>Intervention-worthy DLP alerts; approved exceptions; false alerts and legitimate work interrupted.</w:t>
            </w:r>
          </w:p>
        </w:tc>
      </w:tr>
      <w:tr>
        <w:trPr>
          <w:cantSplit/>
        </w:trPr>
        <w:tc>
          <w:tcPr>
            <w:tcW w:type="dxa" w:w="3312"/>
            <w:vAlign w:val="center"/>
            <w:tcBorders>
              <w:top w:val="single" w:sz="4" w:color="D9D9D9"/>
              <w:left w:val="single" w:sz="4" w:color="D9D9D9"/>
              <w:bottom w:val="single" w:sz="4" w:color="D9D9D9"/>
              <w:right w:val="single" w:sz="4" w:color="D9D9D9"/>
            </w:tcBorders>
            <w:shd w:fill="F0F5F8"/>
            <w:tcMar>
              <w:top w:w="90" w:type="dxa"/>
              <w:bottom w:w="90" w:type="dxa"/>
              <w:left w:w="105" w:type="dxa"/>
              <w:right w:w="105" w:type="dxa"/>
            </w:tcMar>
          </w:tcPr>
          <w:p>
            <w:pPr>
              <w:keepNext w:val="0"/>
              <w:spacing w:after="0" w:line="252" w:lineRule="auto" w:before="0"/>
              <w:jc w:val="left"/>
            </w:pPr>
            <w:r>
              <w:rPr>
                <w:b/>
                <w:color w:val="263442"/>
                <w:sz w:val="20"/>
              </w:rPr>
              <w:t>Usable incident evidence</w:t>
            </w:r>
          </w:p>
        </w:tc>
        <w:tc>
          <w:tcPr>
            <w:tcW w:type="dxa" w:w="6768"/>
            <w:vAlign w:val="center"/>
            <w:tcBorders>
              <w:top w:val="single" w:sz="4" w:color="D9D9D9"/>
              <w:left w:val="single" w:sz="4" w:color="D9D9D9"/>
              <w:bottom w:val="single" w:sz="4" w:color="D9D9D9"/>
              <w:right w:val="single" w:sz="4" w:color="D9D9D9"/>
            </w:tcBorders>
            <w:shd w:fill="F0F5F8"/>
            <w:tcMar>
              <w:top w:w="90" w:type="dxa"/>
              <w:bottom w:w="90" w:type="dxa"/>
              <w:left w:w="105" w:type="dxa"/>
              <w:right w:w="105" w:type="dxa"/>
            </w:tcMar>
          </w:tcPr>
          <w:p>
            <w:pPr>
              <w:keepNext w:val="0"/>
              <w:spacing w:after="0" w:line="252" w:lineRule="auto" w:before="0"/>
              <w:jc w:val="left"/>
            </w:pPr>
            <w:r>
              <w:rPr>
                <w:b w:val="0"/>
                <w:color w:val="263442"/>
                <w:sz w:val="20"/>
              </w:rPr>
              <w:t>Critical systems producing usable logs; alert age; review time and documented decisions.</w:t>
            </w:r>
          </w:p>
        </w:tc>
      </w:tr>
      <w:tr>
        <w:trPr>
          <w:cantSplit/>
        </w:trPr>
        <w:tc>
          <w:tcPr>
            <w:tcW w:type="dxa" w:w="3312"/>
            <w:vAlign w:val="center"/>
            <w:tcBorders>
              <w:top w:val="single" w:sz="4" w:color="D9D9D9"/>
              <w:left w:val="single" w:sz="4" w:color="D9D9D9"/>
              <w:bottom w:val="single" w:sz="4" w:color="D9D9D9"/>
              <w:right w:val="single" w:sz="4" w:color="D9D9D9"/>
            </w:tcBorders>
            <w:shd w:fill="FFFFFF"/>
            <w:tcMar>
              <w:top w:w="90" w:type="dxa"/>
              <w:bottom w:w="90" w:type="dxa"/>
              <w:left w:w="105" w:type="dxa"/>
              <w:right w:w="105" w:type="dxa"/>
            </w:tcMar>
          </w:tcPr>
          <w:p>
            <w:pPr>
              <w:keepNext w:val="0"/>
              <w:spacing w:after="0" w:line="252" w:lineRule="auto" w:before="0"/>
              <w:jc w:val="left"/>
            </w:pPr>
            <w:r>
              <w:rPr>
                <w:b/>
                <w:color w:val="263442"/>
                <w:sz w:val="20"/>
              </w:rPr>
              <w:t>Verified correction and continuity</w:t>
            </w:r>
          </w:p>
        </w:tc>
        <w:tc>
          <w:tcPr>
            <w:tcW w:type="dxa" w:w="6768"/>
            <w:vAlign w:val="center"/>
            <w:tcBorders>
              <w:top w:val="single" w:sz="4" w:color="D9D9D9"/>
              <w:left w:val="single" w:sz="4" w:color="D9D9D9"/>
              <w:bottom w:val="single" w:sz="4" w:color="D9D9D9"/>
              <w:right w:val="single" w:sz="4" w:color="D9D9D9"/>
            </w:tcBorders>
            <w:shd w:fill="FFFFFF"/>
            <w:tcMar>
              <w:top w:w="90" w:type="dxa"/>
              <w:bottom w:w="90" w:type="dxa"/>
              <w:left w:w="105" w:type="dxa"/>
              <w:right w:w="105" w:type="dxa"/>
            </w:tcMar>
          </w:tcPr>
          <w:p>
            <w:pPr>
              <w:keepNext w:val="0"/>
              <w:spacing w:after="0" w:line="252" w:lineRule="auto" w:before="0"/>
              <w:jc w:val="left"/>
            </w:pPr>
            <w:r>
              <w:rPr>
                <w:b w:val="0"/>
                <w:color w:val="263442"/>
                <w:sz w:val="20"/>
              </w:rPr>
              <w:t>High-risk finding age and retest closure; restore success, achieved recovery time and data-loss interval.</w:t>
            </w:r>
          </w:p>
        </w:tc>
      </w:tr>
    </w:tbl>
    <w:p>
      <w:pPr>
        <w:pStyle w:val="Caption"/>
        <w:widowControl/>
        <w:spacing w:before="100"/>
        <w:ind w:left="0" w:right="0"/>
        <w:jc w:val="left"/>
      </w:pPr>
      <w:r>
        <w:t>Agree a baseline and measure outcomes consistently. Define the population for each measure and include unsuccessful tests and slower cases in the review.</w:t>
      </w:r>
    </w:p>
    <w:p>
      <w:pPr>
        <w:pStyle w:val="Heading2"/>
        <w:keepNext/>
        <w:widowControl/>
        <w:ind w:left="0" w:right="0"/>
        <w:jc w:val="left"/>
      </w:pPr>
      <w:r>
        <w:rPr>
          <w:b/>
          <w:color w:val="16324A"/>
        </w:rPr>
        <w:t>A monitoring to response workflow</w:t>
      </w:r>
    </w:p>
    <w:p>
      <w:pPr>
        <w:pStyle w:val="Caption"/>
        <w:widowControl/>
        <w:ind w:left="0" w:right="0"/>
        <w:jc w:val="left"/>
      </w:pPr>
      <w:r>
        <w:t>Detect → Triage → Contain → Investigate → Notify and remediate → Recover and learn</w:t>
      </w:r>
    </w:p>
    <w:p>
      <w:pPr>
        <w:widowControl/>
        <w:spacing w:after="160" w:line="259" w:lineRule="auto"/>
        <w:ind w:left="0" w:right="0"/>
        <w:jc w:val="both"/>
      </w:pPr>
      <w:r>
        <w:t>An event becomes an alert under an approved rule. An authorised reviewer checks severity, business context and a possible benign explanation. Credible incidents proceed to permitted containment, preserved evidence and investigation. Legal assesses reporting duties; the team fixes the cause, restores service and records lessons. Explained activity closes with a documented reason.</w:t>
      </w:r>
    </w:p>
    <w:p>
      <w:pPr>
        <w:pStyle w:val="Heading2"/>
        <w:keepNext/>
        <w:pageBreakBefore/>
        <w:widowControl/>
        <w:spacing w:before="0" w:after="180"/>
        <w:ind w:left="0" w:right="0"/>
        <w:jc w:val="left"/>
        <w:shd w:fill="EDF5F6"/>
      </w:pPr>
      <w:r>
        <w:rPr>
          <w:b/>
          <w:color w:val="087F8C"/>
          <w:sz w:val="32"/>
        </w:rPr>
        <w:t>05  /  Delivery and governance</w:t>
      </w:r>
    </w:p>
    <w:p>
      <w:pPr>
        <w:pStyle w:val="Heading2"/>
        <w:keepNext/>
        <w:widowControl/>
        <w:ind w:left="0" w:right="0"/>
        <w:jc w:val="left"/>
      </w:pPr>
      <w:r>
        <w:rPr>
          <w:b/>
          <w:color w:val="16324A"/>
        </w:rPr>
        <w:t>Implement through a bounded pilot</w:t>
      </w:r>
    </w:p>
    <w:p>
      <w:pPr>
        <w:widowControl/>
        <w:spacing w:after="160" w:line="259" w:lineRule="auto"/>
        <w:ind w:left="0" w:right="0"/>
        <w:jc w:val="both"/>
      </w:pPr>
      <w:r>
        <w:rPr>
          <w:b/>
        </w:rPr>
        <w:t xml:space="preserve">Discover and establish foundations. </w:t>
      </w:r>
      <w:r>
        <w:t>Map critical systems, data, users, devices and vendors. Agree purpose, exclusions, recovery priorities and ownership. Strengthen identity controls, usable logging and backup protections before adding complex correlations.</w:t>
      </w:r>
    </w:p>
    <w:p>
      <w:pPr>
        <w:widowControl/>
        <w:spacing w:after="160" w:line="259" w:lineRule="auto"/>
        <w:ind w:left="0" w:right="0"/>
        <w:jc w:val="both"/>
      </w:pPr>
      <w:r>
        <w:rPr>
          <w:b/>
        </w:rPr>
        <w:t xml:space="preserve">Configure and verify. </w:t>
      </w:r>
      <w:r>
        <w:t>Pilot selected SIEM and DLP use cases, using review mode where practical. Test ingestion, alert routing, exceptions, access removal and restoration with approved accounts and synthetic data. Authorise penetration testing and define rollback before disruptive actions.</w:t>
      </w:r>
    </w:p>
    <w:p>
      <w:pPr>
        <w:widowControl/>
        <w:spacing w:after="160" w:line="259" w:lineRule="auto"/>
        <w:ind w:left="0" w:right="0"/>
        <w:jc w:val="both"/>
      </w:pPr>
      <w:r>
        <w:rPr>
          <w:b/>
        </w:rPr>
        <w:t xml:space="preserve">Decide and expand. </w:t>
      </w:r>
      <w:r>
        <w:t>Review results, costs, residual risks and operating workload. Agree supported integrations, service hours, escalation and response authority. A3M Labs delivers the agreed security services with client Security and IT teams; business owners confirm context, while Legal and HR address applicable obligations and employee process. Expansion follows verified results and available operating capacity.</w:t>
      </w:r>
    </w:p>
    <w:p>
      <w:pPr>
        <w:pStyle w:val="Heading1"/>
        <w:keepNext/>
        <w:widowControl/>
        <w:ind w:left="0" w:right="0"/>
        <w:jc w:val="left"/>
      </w:pPr>
      <w:r>
        <w:rPr>
          <w:b/>
          <w:color w:val="16324A"/>
        </w:rPr>
        <w:t>Sustain accountable enterprise security</w:t>
      </w:r>
    </w:p>
    <w:p>
      <w:pPr>
        <w:widowControl/>
        <w:spacing w:after="160" w:line="259" w:lineRule="auto"/>
        <w:ind w:left="0" w:right="0"/>
        <w:jc w:val="both"/>
      </w:pPr>
      <w:r>
        <w:t>Monitoring records are themselves sensitive information. A3M Labs configures access and retention controls within the agreed scope. Restrict searches and exports to named, authorised users; protect integrity and log access. Set retention by record class and collect security events necessary for the defined risk. New uses, dataset linkages or HR decisions require renewed assessment and approval.</w:t>
      </w:r>
    </w:p>
    <w:p>
      <w:pPr>
        <w:widowControl/>
        <w:spacing w:after="160" w:line="259" w:lineRule="auto"/>
        <w:ind w:left="0" w:right="0"/>
        <w:jc w:val="both"/>
      </w:pPr>
      <w:r>
        <w:t>Before deployment, the client’s Legal team should confirm applicable data-protection, workplace, sector, reporting and contractual obligations for the actual systems and data flows. A3M Labs aligns control configuration with the agreed requirements. The service agreement defines our delivery responsibilities, client decision authority, monitoring coverage, staffing, service hours and response arrangements.</w:t>
      </w:r>
    </w:p>
    <w:p>
      <w:pPr>
        <w:pStyle w:val="Heading2"/>
        <w:keepNext/>
        <w:widowControl/>
        <w:ind w:left="0" w:right="0"/>
        <w:jc w:val="left"/>
      </w:pPr>
      <w:r>
        <w:rPr>
          <w:b/>
          <w:color w:val="16324A"/>
        </w:rPr>
        <w:t>The management decision</w:t>
      </w:r>
    </w:p>
    <w:p>
      <w:pPr>
        <w:widowControl/>
        <w:spacing w:after="160" w:line="259" w:lineRule="auto"/>
        <w:ind w:left="0" w:right="0"/>
        <w:jc w:val="both"/>
      </w:pPr>
      <w:r>
        <w:t>Engage A3M Labs for a scoped assessment and pilot linking each material risk to its evidence, reviewer, permitted action and recovery test. Our ten cybersecurity services provide the technical controls and practical delivery support. Expand as testing demonstrates clearer accountability, better investigation, controlled data sharing, verified remediation and recovery readiness.</w:t>
      </w:r>
    </w:p>
    <w:sectPr w:rsidR="00FC693F" w:rsidRPr="0006063C" w:rsidSect="00034616">
      <w:headerReference w:type="default" r:id="rId9"/>
      <w:footerReference w:type="default" r:id="rId10"/>
      <w:pgSz w:w="12240" w:h="15840"/>
      <w:pgMar w:top="1008" w:right="1008" w:bottom="936" w:left="1008"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26171"/>
        <w:sz w:val="16"/>
      </w:rPr>
      <w:t>A3M Labs  •  October 2026</w:t>
    </w:r>
    <w:r>
      <w:rPr>
        <w:sz w:val="16"/>
      </w:rPr>
      <w:t xml:space="preserve">             Corporate Surveillance and Enterprise Cybersecurity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6324A"/>
        <w:sz w:val="18"/>
      </w:rPr>
      <w:t>A3M Labs     /     ENTERPRISE SECURITY WHITE PAPER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4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59" w:lineRule="auto"/>
      <w:outlineLvl w:val="0"/>
    </w:pPr>
    <w:rPr>
      <w:rFonts w:asciiTheme="majorHAnsi" w:eastAsiaTheme="majorEastAsia" w:hAnsiTheme="majorHAnsi" w:cstheme="majorBidi" w:ascii="Calibri" w:hAnsi="Calibri"/>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140" w:line="259"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9" w:lineRule="auto"/>
      <w:contextualSpacing/>
    </w:pPr>
    <w:rPr>
      <w:rFonts w:asciiTheme="majorHAnsi" w:eastAsiaTheme="majorEastAsia" w:hAnsiTheme="majorHAnsi" w:cstheme="majorBidi" w:ascii="Calibri" w:hAnsi="Calibri"/>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59" w:lineRule="auto"/>
    </w:pPr>
    <w:rPr>
      <w:rFonts w:asciiTheme="majorHAnsi" w:eastAsiaTheme="majorEastAsia" w:hAnsiTheme="majorHAnsi" w:cstheme="majorBidi" w:ascii="Calibri" w:hAnsi="Calibri"/>
      <w:b/>
      <w:i/>
      <w:iCs/>
      <w:color w:val="000000"/>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59" w:lineRule="auto" w:after="140"/>
    </w:pPr>
    <w:rPr>
      <w:rFonts w:ascii="Calibri" w:hAnsi="Calibri"/>
      <w:b w:val="0"/>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Corporate Surveillance and Enterprise Cybersecurity</dc:title>
  <dc:subject>Documented services and a proposed integrated enterprise security approach</dc:subject>
  <dc:creator>A3M Labs</dc:creator>
  <cp:keywords/>
  <dc:description/>
  <cp:lastModifiedBy/>
  <cp:revision>1</cp:revision>
  <dcterms:created xsi:type="dcterms:W3CDTF">2013-12-23T23:15:00Z</dcterms:created>
  <dcterms:modified xsi:type="dcterms:W3CDTF">2013-12-23T23:15:00Z</dcterms:modified>
  <cp:category/>
</cp:coreProperties>
</file>